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一（第</w:t>
      </w:r>
      <w:r>
        <w:rPr>
          <w:rFonts w:hint="eastAsia" w:ascii="宋体" w:hAnsi="宋体" w:eastAsia="黑体" w:cs="黑体"/>
          <w:sz w:val="28"/>
          <w:szCs w:val="28"/>
          <w:highlight w:val="none"/>
          <w:lang w:val="en-US" w:eastAsia="zh-CN"/>
        </w:rPr>
        <w:t>1页/共1页</w:t>
      </w:r>
      <w:r>
        <w:rPr>
          <w:rFonts w:hint="eastAsia" w:ascii="宋体" w:hAnsi="宋体" w:eastAsia="黑体" w:cs="黑体"/>
          <w:sz w:val="28"/>
          <w:szCs w:val="28"/>
          <w:highlight w:val="none"/>
          <w:lang w:eastAsia="zh-CN"/>
        </w:rPr>
        <w:t>）</w:t>
      </w:r>
    </w:p>
    <w:p>
      <w:pPr>
        <w:widowControl w:val="0"/>
        <w:wordWrap/>
        <w:overflowPunct w:val="0"/>
        <w:autoSpaceDE w:val="0"/>
        <w:autoSpaceDN w:val="0"/>
        <w:adjustRightInd w:val="0"/>
        <w:snapToGrid w:val="0"/>
        <w:spacing w:line="600" w:lineRule="exact"/>
        <w:ind w:left="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年市级一般公共预算收支总表</w:t>
      </w:r>
    </w:p>
    <w:p>
      <w:pPr>
        <w:widowControl w:val="0"/>
        <w:wordWrap/>
        <w:spacing w:line="600" w:lineRule="exact"/>
        <w:ind w:left="0"/>
        <w:jc w:val="righ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单位：万元</w:t>
      </w:r>
    </w:p>
    <w:tbl>
      <w:tblPr>
        <w:tblStyle w:val="11"/>
        <w:tblW w:w="90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72"/>
        <w:gridCol w:w="1610"/>
        <w:gridCol w:w="2865"/>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宋体" w:hAnsi="宋体" w:eastAsia="黑体" w:cs="黑体"/>
                <w:i w:val="0"/>
                <w:color w:val="000000"/>
                <w:kern w:val="0"/>
                <w:sz w:val="24"/>
                <w:szCs w:val="24"/>
                <w:highlight w:val="none"/>
                <w:u w:val="none"/>
                <w:lang w:val="en-US" w:eastAsia="zh-CN"/>
              </w:rPr>
              <w:t>收入</w:t>
            </w:r>
          </w:p>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预算数</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宋体" w:hAnsi="宋体" w:eastAsia="黑体" w:cs="黑体"/>
                <w:i w:val="0"/>
                <w:color w:val="000000"/>
                <w:kern w:val="0"/>
                <w:sz w:val="24"/>
                <w:szCs w:val="24"/>
                <w:highlight w:val="none"/>
                <w:u w:val="none"/>
                <w:lang w:val="en-US" w:eastAsia="zh-CN"/>
              </w:rPr>
              <w:t>支出</w:t>
            </w:r>
          </w:p>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市本级收入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375845</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市本级支出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526816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上级补助收入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162236</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其中：市本级财力支出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526816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返还性收入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8267</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提前通知专项转移支付安排支出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22984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一般性转移支付收入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130985</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补助镇级支出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28876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专项转移支付收入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22984</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返还性支出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镇级上解收入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123153</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一般性转移支付支出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21443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上年结转结余收入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3413</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专项转移支付支出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动用预算稳定调节基金</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5671</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上解上级支出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91642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收入总计</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670318</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支出总计</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670318</w:t>
            </w:r>
          </w:p>
        </w:tc>
      </w:tr>
    </w:tbl>
    <w:p>
      <w:pPr>
        <w:widowControl w:val="0"/>
        <w:wordWrap/>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仿宋_GB2312"/>
          <w:sz w:val="32"/>
          <w:szCs w:val="30"/>
          <w:highlight w:val="none"/>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二（第</w:t>
      </w:r>
      <w:r>
        <w:rPr>
          <w:rFonts w:hint="eastAsia" w:ascii="宋体" w:hAnsi="宋体" w:eastAsia="黑体" w:cs="黑体"/>
          <w:sz w:val="28"/>
          <w:szCs w:val="28"/>
          <w:highlight w:val="none"/>
          <w:lang w:val="en-US" w:eastAsia="zh-CN"/>
        </w:rPr>
        <w:t>1页/共2页</w:t>
      </w:r>
      <w:r>
        <w:rPr>
          <w:rFonts w:hint="eastAsia" w:ascii="宋体" w:hAnsi="宋体" w:eastAsia="黑体" w:cs="黑体"/>
          <w:sz w:val="28"/>
          <w:szCs w:val="28"/>
          <w:highlight w:val="none"/>
          <w:lang w:eastAsia="zh-CN"/>
        </w:rPr>
        <w:t>）</w:t>
      </w:r>
    </w:p>
    <w:p>
      <w:pPr>
        <w:widowControl w:val="0"/>
        <w:wordWrap/>
        <w:overflowPunct w:val="0"/>
        <w:autoSpaceDE w:val="0"/>
        <w:autoSpaceDN w:val="0"/>
        <w:adjustRightInd w:val="0"/>
        <w:snapToGrid w:val="0"/>
        <w:spacing w:line="600" w:lineRule="exact"/>
        <w:ind w:left="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年市级一般公共预算收入表</w:t>
      </w:r>
    </w:p>
    <w:p>
      <w:pPr>
        <w:widowControl w:val="0"/>
        <w:wordWrap/>
        <w:spacing w:line="60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91"/>
        <w:gridCol w:w="1490"/>
        <w:gridCol w:w="1490"/>
        <w:gridCol w:w="1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rPr>
              <w:t>项  目</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rPr>
              <w:t>2020年执行数</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rPr>
              <w:t>2021年预算数</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黑体" w:hAnsi="宋体" w:eastAsia="黑体" w:cs="黑体"/>
                <w:i w:val="0"/>
                <w:color w:val="000000"/>
                <w:kern w:val="0"/>
                <w:sz w:val="24"/>
                <w:szCs w:val="24"/>
                <w:highlight w:val="none"/>
                <w:u w:val="none"/>
                <w:lang w:val="en-US" w:eastAsia="zh-CN"/>
              </w:rPr>
              <w:t>预算数为上年执行数%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一、市本级收入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378537</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375845</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99.3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（一）税收收入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243971</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259641</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106.4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增值税</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123083</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144522</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企业所得税</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43065</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53098</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个人所得税</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2326</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2223</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环境保护税</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4003</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4500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资源税</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7870</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8789</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城市维护建设税</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28895</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17589</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60.9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房产税</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4917</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4000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81.4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印花税</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55</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城镇土地使用税</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389</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200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51.4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耕地占用税</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2191</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2500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契税</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27133</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22000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81.1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其他税收收入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44</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120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272.7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（二）非税收入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134566</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116204</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86.4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25484</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31860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行政事业性收费</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10929</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13587</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124.3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罚没收入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80865</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51063</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63.1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国有资本经营收入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1444</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1080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国有资源(资产)有偿使用收入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5517</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6564</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119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二（第</w:t>
      </w:r>
      <w:r>
        <w:rPr>
          <w:rFonts w:hint="eastAsia" w:ascii="宋体" w:hAnsi="宋体" w:eastAsia="黑体" w:cs="黑体"/>
          <w:sz w:val="28"/>
          <w:szCs w:val="28"/>
          <w:highlight w:val="none"/>
          <w:lang w:val="en-US" w:eastAsia="zh-CN"/>
        </w:rPr>
        <w:t>2页/共2页</w:t>
      </w:r>
      <w:r>
        <w:rPr>
          <w:rFonts w:hint="eastAsia" w:ascii="宋体" w:hAnsi="宋体" w:eastAsia="黑体" w:cs="黑体"/>
          <w:sz w:val="28"/>
          <w:szCs w:val="28"/>
          <w:highlight w:val="none"/>
          <w:lang w:eastAsia="zh-CN"/>
        </w:rPr>
        <w:t>）</w:t>
      </w:r>
    </w:p>
    <w:p>
      <w:pPr>
        <w:widowControl w:val="0"/>
        <w:wordWrap/>
        <w:overflowPunct w:val="0"/>
        <w:autoSpaceDE w:val="0"/>
        <w:autoSpaceDN w:val="0"/>
        <w:adjustRightInd w:val="0"/>
        <w:snapToGrid w:val="0"/>
        <w:spacing w:line="600" w:lineRule="exact"/>
        <w:ind w:left="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年市级一般公共预算收入表</w:t>
      </w:r>
    </w:p>
    <w:p>
      <w:pPr>
        <w:widowControl w:val="0"/>
        <w:wordWrap/>
        <w:spacing w:line="60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580"/>
        <w:gridCol w:w="1504"/>
        <w:gridCol w:w="1488"/>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2" w:hRule="atLeast"/>
          <w:tblHeader/>
        </w:trPr>
        <w:tc>
          <w:tcPr>
            <w:tcW w:w="4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rPr>
              <w:t>2020年执行数</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rPr>
              <w:t>2021年预算数</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黑体" w:hAnsi="宋体" w:eastAsia="黑体" w:cs="黑体"/>
                <w:i w:val="0"/>
                <w:color w:val="000000"/>
                <w:kern w:val="0"/>
                <w:sz w:val="24"/>
                <w:szCs w:val="24"/>
                <w:highlight w:val="none"/>
                <w:u w:val="none"/>
                <w:lang w:val="en-US" w:eastAsia="zh-CN"/>
              </w:rPr>
              <w:t>预算数为上年执行数%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政府住房基金收入</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3542</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3540</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99.9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其他收入</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6785</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8510</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二、上级补助收入</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292354</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162236</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55.5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返还性收入</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8267</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8267</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一般性转移支付收入</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193422</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130985</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67.7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专项转移支付收入</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90665</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22984</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三、镇级上解收入</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85711</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123153</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143.7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体制上解</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37648</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100487</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266.9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增量上解</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30392</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7256</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其他应由乡镇承担的专项上解</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17671</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15410</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87.2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四、上年结转结余收入</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2122</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3413</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五、动用预算稳定调节基金</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8602</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u w:val="none"/>
                <w:lang w:val="en-US" w:eastAsia="zh-CN" w:bidi="ar"/>
              </w:rPr>
              <w:t>5671</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65.9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六、一般债务收入</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u w:val="none"/>
                <w:lang w:val="en-US" w:eastAsia="zh-CN" w:bidi="ar"/>
              </w:rPr>
              <w:t>16500</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七、调入资金</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6317</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trPr>
        <w:tc>
          <w:tcPr>
            <w:tcW w:w="45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合  计</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u w:val="none"/>
                <w:lang w:val="en-US" w:eastAsia="zh-CN" w:bidi="ar"/>
              </w:rPr>
              <w:t>790143</w:t>
            </w:r>
          </w:p>
        </w:tc>
        <w:tc>
          <w:tcPr>
            <w:tcW w:w="14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u w:val="none"/>
                <w:lang w:val="en-US" w:eastAsia="zh-CN" w:bidi="ar"/>
              </w:rPr>
              <w:t>670318</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84.8 </w:t>
            </w:r>
          </w:p>
        </w:tc>
      </w:tr>
    </w:tbl>
    <w:p>
      <w:pPr>
        <w:widowControl w:val="0"/>
        <w:wordWrap/>
        <w:spacing w:line="600" w:lineRule="exact"/>
        <w:ind w:left="0"/>
        <w:jc w:val="both"/>
        <w:textAlignment w:val="auto"/>
        <w:outlineLvl w:val="9"/>
        <w:rPr>
          <w:rFonts w:hint="eastAsia" w:ascii="宋体" w:hAnsi="宋体" w:eastAsia="黑体" w:cs="黑体"/>
          <w:sz w:val="28"/>
          <w:szCs w:val="28"/>
          <w:highlight w:val="none"/>
          <w:lang w:eastAsia="zh-CN"/>
        </w:rPr>
      </w:pPr>
      <w:r>
        <w:rPr>
          <w:rFonts w:hint="eastAsia" w:ascii="宋体" w:hAnsi="宋体" w:eastAsia="方正小标宋简体" w:cs="方正小标宋简体"/>
          <w:color w:val="000000"/>
          <w:kern w:val="0"/>
          <w:sz w:val="44"/>
          <w:szCs w:val="44"/>
          <w:highlight w:val="none"/>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三（第</w:t>
      </w:r>
      <w:r>
        <w:rPr>
          <w:rFonts w:hint="eastAsia" w:ascii="宋体" w:hAnsi="宋体" w:eastAsia="黑体" w:cs="黑体"/>
          <w:sz w:val="28"/>
          <w:szCs w:val="28"/>
          <w:highlight w:val="none"/>
          <w:lang w:val="en-US" w:eastAsia="zh-CN"/>
        </w:rPr>
        <w:t>1页/共2页</w:t>
      </w:r>
      <w:r>
        <w:rPr>
          <w:rFonts w:hint="eastAsia" w:ascii="宋体" w:hAnsi="宋体" w:eastAsia="黑体" w:cs="黑体"/>
          <w:sz w:val="28"/>
          <w:szCs w:val="28"/>
          <w:highlight w:val="none"/>
          <w:lang w:eastAsia="zh-CN"/>
        </w:rPr>
        <w:t>）</w:t>
      </w:r>
    </w:p>
    <w:p>
      <w:pPr>
        <w:widowControl w:val="0"/>
        <w:wordWrap/>
        <w:overflowPunct w:val="0"/>
        <w:autoSpaceDE w:val="0"/>
        <w:autoSpaceDN w:val="0"/>
        <w:adjustRightInd w:val="0"/>
        <w:snapToGrid w:val="0"/>
        <w:spacing w:line="600" w:lineRule="exact"/>
        <w:ind w:left="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年市级一般公共预算支出总表</w:t>
      </w:r>
    </w:p>
    <w:p>
      <w:pPr>
        <w:widowControl w:val="0"/>
        <w:wordWrap/>
        <w:spacing w:line="60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942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03"/>
        <w:gridCol w:w="1199"/>
        <w:gridCol w:w="1080"/>
        <w:gridCol w:w="960"/>
        <w:gridCol w:w="1020"/>
        <w:gridCol w:w="870"/>
        <w:gridCol w:w="1005"/>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9" w:hRule="atLeast"/>
          <w:tblHeader/>
          <w:jc w:val="center"/>
        </w:trPr>
        <w:tc>
          <w:tcPr>
            <w:tcW w:w="24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rPr>
              <w:t>科 目</w:t>
            </w:r>
          </w:p>
        </w:tc>
        <w:tc>
          <w:tcPr>
            <w:tcW w:w="11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auto"/>
                <w:kern w:val="0"/>
                <w:sz w:val="24"/>
                <w:szCs w:val="24"/>
                <w:highlight w:val="none"/>
                <w:u w:val="none"/>
                <w:lang w:val="en-US" w:eastAsia="zh-CN"/>
              </w:rPr>
              <w:t>市级合计</w:t>
            </w:r>
          </w:p>
        </w:tc>
        <w:tc>
          <w:tcPr>
            <w:tcW w:w="49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宋体" w:eastAsia="黑体" w:cs="黑体"/>
                <w:i w:val="0"/>
                <w:color w:val="auto"/>
                <w:kern w:val="0"/>
                <w:sz w:val="24"/>
                <w:szCs w:val="24"/>
                <w:highlight w:val="none"/>
                <w:u w:val="none"/>
                <w:lang w:val="en-US" w:eastAsia="zh-CN"/>
              </w:rPr>
            </w:pPr>
          </w:p>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auto"/>
                <w:kern w:val="0"/>
                <w:sz w:val="24"/>
                <w:szCs w:val="24"/>
                <w:highlight w:val="none"/>
                <w:u w:val="none"/>
                <w:lang w:val="en-US" w:eastAsia="zh-CN"/>
              </w:rPr>
              <w:t>本级财力</w:t>
            </w:r>
            <w:r>
              <w:rPr>
                <w:rFonts w:hint="eastAsia" w:ascii="黑体" w:hAnsi="宋体" w:eastAsia="黑体" w:cs="黑体"/>
                <w:i w:val="0"/>
                <w:color w:val="auto"/>
                <w:kern w:val="0"/>
                <w:sz w:val="24"/>
                <w:szCs w:val="24"/>
                <w:highlight w:val="none"/>
                <w:u w:val="none"/>
                <w:lang w:val="en-US" w:eastAsia="zh-CN"/>
              </w:rPr>
              <w:br w:type="textWrapping"/>
            </w:r>
          </w:p>
        </w:tc>
        <w:tc>
          <w:tcPr>
            <w:tcW w:w="88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专项转移支付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7" w:hRule="atLeast"/>
          <w:tblHeader/>
          <w:jc w:val="center"/>
        </w:trPr>
        <w:tc>
          <w:tcPr>
            <w:tcW w:w="24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黑体" w:cs="黑体"/>
                <w:i w:val="0"/>
                <w:color w:val="000000"/>
                <w:sz w:val="24"/>
                <w:szCs w:val="24"/>
                <w:highlight w:val="none"/>
                <w:u w:val="none"/>
              </w:rPr>
            </w:pPr>
          </w:p>
        </w:tc>
        <w:tc>
          <w:tcPr>
            <w:tcW w:w="11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黑体" w:cs="黑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auto"/>
                <w:kern w:val="0"/>
                <w:sz w:val="24"/>
                <w:szCs w:val="24"/>
                <w:highlight w:val="none"/>
                <w:u w:val="none"/>
                <w:lang w:val="en-US" w:eastAsia="zh-CN"/>
              </w:rPr>
              <w:t>小计</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auto"/>
                <w:kern w:val="0"/>
                <w:sz w:val="24"/>
                <w:szCs w:val="24"/>
                <w:highlight w:val="none"/>
                <w:u w:val="none"/>
                <w:lang w:val="en-US" w:eastAsia="zh-CN"/>
              </w:rPr>
              <w:t>当年财力</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auto"/>
                <w:kern w:val="0"/>
                <w:sz w:val="24"/>
                <w:szCs w:val="24"/>
                <w:highlight w:val="none"/>
                <w:u w:val="none"/>
                <w:lang w:val="en-US" w:eastAsia="zh-CN"/>
              </w:rPr>
              <w:t>一般性转移支付</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auto"/>
                <w:kern w:val="0"/>
                <w:sz w:val="24"/>
                <w:szCs w:val="24"/>
                <w:highlight w:val="none"/>
                <w:u w:val="none"/>
                <w:lang w:val="en-US" w:eastAsia="zh-CN"/>
              </w:rPr>
              <w:t>上年结转结余</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auto"/>
                <w:kern w:val="0"/>
                <w:sz w:val="24"/>
                <w:szCs w:val="24"/>
                <w:highlight w:val="none"/>
                <w:u w:val="none"/>
                <w:lang w:val="en-US" w:eastAsia="zh-CN"/>
              </w:rPr>
              <w:t>动用预算稳定调节基金</w:t>
            </w:r>
          </w:p>
        </w:tc>
        <w:tc>
          <w:tcPr>
            <w:tcW w:w="88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黑体" w:cs="黑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合  计</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549800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526816</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434916</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82816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3413</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5671</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22984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一般公共服务支出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46084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45981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45867</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国防支出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813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813</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774</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公共安全支出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27341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27341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26134</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1207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教育支出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142609</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141174</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130402</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10772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科学技术支出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12342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11612</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11500</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112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文化旅游体育与传媒支出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10023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10023</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8547</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1476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81869</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81869</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56266</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25603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卫生健康支出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58533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58105</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35319</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22786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节能环保支出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15576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7275</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4491</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1452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1332</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8301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城乡社区支出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21495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21495</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18887</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2608</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农林水支出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48516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46006</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28686</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16520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800</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交通运输支出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17277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10555</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10555</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6722</w:t>
            </w:r>
          </w:p>
        </w:tc>
      </w:tr>
    </w:tbl>
    <w:p>
      <w:pPr>
        <w:widowControl w:val="0"/>
        <w:wordWrap/>
        <w:spacing w:line="600" w:lineRule="exact"/>
        <w:ind w:left="0"/>
        <w:jc w:val="both"/>
        <w:textAlignment w:val="auto"/>
        <w:outlineLvl w:val="9"/>
        <w:rPr>
          <w:rFonts w:hint="eastAsia" w:ascii="宋体" w:hAnsi="宋体" w:eastAsia="黑体" w:cs="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三（第</w:t>
      </w:r>
      <w:r>
        <w:rPr>
          <w:rFonts w:hint="eastAsia" w:ascii="宋体" w:hAnsi="宋体" w:eastAsia="黑体" w:cs="黑体"/>
          <w:sz w:val="28"/>
          <w:szCs w:val="28"/>
          <w:highlight w:val="none"/>
          <w:lang w:val="en-US" w:eastAsia="zh-CN"/>
        </w:rPr>
        <w:t>2页/共2页</w:t>
      </w:r>
      <w:r>
        <w:rPr>
          <w:rFonts w:hint="eastAsia" w:ascii="宋体" w:hAnsi="宋体" w:eastAsia="黑体" w:cs="黑体"/>
          <w:sz w:val="28"/>
          <w:szCs w:val="28"/>
          <w:highlight w:val="none"/>
          <w:lang w:eastAsia="zh-CN"/>
        </w:rPr>
        <w:t>）</w:t>
      </w:r>
    </w:p>
    <w:p>
      <w:pPr>
        <w:widowControl w:val="0"/>
        <w:wordWrap/>
        <w:overflowPunct w:val="0"/>
        <w:autoSpaceDE w:val="0"/>
        <w:autoSpaceDN w:val="0"/>
        <w:adjustRightInd w:val="0"/>
        <w:snapToGrid w:val="0"/>
        <w:spacing w:line="600" w:lineRule="exact"/>
        <w:ind w:left="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年市级一般公共预算支出总表</w:t>
      </w:r>
    </w:p>
    <w:p>
      <w:pPr>
        <w:widowControl w:val="0"/>
        <w:wordWrap/>
        <w:spacing w:line="60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942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03"/>
        <w:gridCol w:w="1199"/>
        <w:gridCol w:w="1080"/>
        <w:gridCol w:w="960"/>
        <w:gridCol w:w="1020"/>
        <w:gridCol w:w="870"/>
        <w:gridCol w:w="1005"/>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71" w:hRule="atLeast"/>
          <w:tblHeader/>
          <w:jc w:val="center"/>
        </w:trPr>
        <w:tc>
          <w:tcPr>
            <w:tcW w:w="240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000000"/>
                <w:kern w:val="0"/>
                <w:sz w:val="24"/>
                <w:szCs w:val="24"/>
                <w:highlight w:val="none"/>
                <w:u w:val="none"/>
                <w:lang w:val="en-US" w:eastAsia="zh-CN"/>
              </w:rPr>
              <w:t>科 目</w:t>
            </w:r>
          </w:p>
        </w:tc>
        <w:tc>
          <w:tcPr>
            <w:tcW w:w="11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auto"/>
                <w:kern w:val="0"/>
                <w:sz w:val="24"/>
                <w:szCs w:val="24"/>
                <w:highlight w:val="none"/>
                <w:u w:val="none"/>
                <w:lang w:val="en-US" w:eastAsia="zh-CN"/>
              </w:rPr>
              <w:t>市级合计</w:t>
            </w:r>
          </w:p>
        </w:tc>
        <w:tc>
          <w:tcPr>
            <w:tcW w:w="493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宋体" w:eastAsia="黑体" w:cs="黑体"/>
                <w:i w:val="0"/>
                <w:color w:val="auto"/>
                <w:kern w:val="0"/>
                <w:sz w:val="24"/>
                <w:szCs w:val="24"/>
                <w:highlight w:val="none"/>
                <w:u w:val="none"/>
                <w:lang w:val="en-US" w:eastAsia="zh-CN"/>
              </w:rPr>
            </w:pPr>
          </w:p>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auto"/>
                <w:kern w:val="0"/>
                <w:sz w:val="24"/>
                <w:szCs w:val="24"/>
                <w:highlight w:val="none"/>
                <w:u w:val="none"/>
                <w:lang w:val="en-US" w:eastAsia="zh-CN"/>
              </w:rPr>
              <w:t>本级财力</w:t>
            </w:r>
            <w:r>
              <w:rPr>
                <w:rFonts w:hint="eastAsia" w:ascii="黑体" w:hAnsi="宋体" w:eastAsia="黑体" w:cs="黑体"/>
                <w:i w:val="0"/>
                <w:color w:val="auto"/>
                <w:kern w:val="0"/>
                <w:sz w:val="24"/>
                <w:szCs w:val="24"/>
                <w:highlight w:val="none"/>
                <w:u w:val="none"/>
                <w:lang w:val="en-US" w:eastAsia="zh-CN"/>
              </w:rPr>
              <w:br w:type="textWrapping"/>
            </w:r>
          </w:p>
        </w:tc>
        <w:tc>
          <w:tcPr>
            <w:tcW w:w="88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专项转移支付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87" w:hRule="atLeast"/>
          <w:tblHeader/>
          <w:jc w:val="center"/>
        </w:trPr>
        <w:tc>
          <w:tcPr>
            <w:tcW w:w="240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黑体" w:cs="黑体"/>
                <w:i w:val="0"/>
                <w:color w:val="000000"/>
                <w:sz w:val="24"/>
                <w:szCs w:val="24"/>
                <w:highlight w:val="none"/>
                <w:u w:val="none"/>
              </w:rPr>
            </w:pPr>
          </w:p>
        </w:tc>
        <w:tc>
          <w:tcPr>
            <w:tcW w:w="11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黑体" w:cs="黑体"/>
                <w:i w:val="0"/>
                <w:color w:val="000000"/>
                <w:sz w:val="24"/>
                <w:szCs w:val="24"/>
                <w:highlight w:val="none"/>
                <w:u w:val="none"/>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auto"/>
                <w:kern w:val="0"/>
                <w:sz w:val="24"/>
                <w:szCs w:val="24"/>
                <w:highlight w:val="none"/>
                <w:u w:val="none"/>
                <w:lang w:val="en-US" w:eastAsia="zh-CN"/>
              </w:rPr>
              <w:t>小计</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auto"/>
                <w:kern w:val="0"/>
                <w:sz w:val="24"/>
                <w:szCs w:val="24"/>
                <w:highlight w:val="none"/>
                <w:u w:val="none"/>
                <w:lang w:val="en-US" w:eastAsia="zh-CN"/>
              </w:rPr>
              <w:t>当年财力</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auto"/>
                <w:kern w:val="0"/>
                <w:sz w:val="24"/>
                <w:szCs w:val="24"/>
                <w:highlight w:val="none"/>
                <w:u w:val="none"/>
                <w:lang w:val="en-US" w:eastAsia="zh-CN"/>
              </w:rPr>
              <w:t>一般性转移支付</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auto"/>
                <w:kern w:val="0"/>
                <w:sz w:val="24"/>
                <w:szCs w:val="24"/>
                <w:highlight w:val="none"/>
                <w:u w:val="none"/>
                <w:lang w:val="en-US" w:eastAsia="zh-CN"/>
              </w:rPr>
              <w:t>上年结转结余</w:t>
            </w: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000000"/>
                <w:sz w:val="24"/>
                <w:szCs w:val="24"/>
                <w:highlight w:val="none"/>
                <w:u w:val="none"/>
              </w:rPr>
            </w:pPr>
            <w:r>
              <w:rPr>
                <w:rFonts w:hint="eastAsia" w:ascii="黑体" w:hAnsi="宋体" w:eastAsia="黑体" w:cs="黑体"/>
                <w:i w:val="0"/>
                <w:color w:val="auto"/>
                <w:kern w:val="0"/>
                <w:sz w:val="24"/>
                <w:szCs w:val="24"/>
                <w:highlight w:val="none"/>
                <w:u w:val="none"/>
                <w:lang w:val="en-US" w:eastAsia="zh-CN"/>
              </w:rPr>
              <w:t>动用预算稳定调节基金</w:t>
            </w:r>
          </w:p>
        </w:tc>
        <w:tc>
          <w:tcPr>
            <w:tcW w:w="88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黑体" w:cs="黑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资源勘探工业信息等支出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1513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1513</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1513</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商业服务业等支出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601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291</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291</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金融支出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援助其他地区支出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840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840</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840</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自然资源海洋气象等支出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6267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3822</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3822</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住房保障支出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16898</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16898</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14158</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2740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粮油物资储备支出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94</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94</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灾害防治及应急管理支出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5117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5117</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5117</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预备费</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13000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13000</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13000</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4" w:hRule="atLeast"/>
          <w:jc w:val="center"/>
        </w:trPr>
        <w:tc>
          <w:tcPr>
            <w:tcW w:w="24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债务付息支出</w:t>
            </w:r>
          </w:p>
        </w:tc>
        <w:tc>
          <w:tcPr>
            <w:tcW w:w="11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22892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22892</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18553</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0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4339</w:t>
            </w: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bl>
    <w:p>
      <w:pPr>
        <w:widowControl w:val="0"/>
        <w:wordWrap/>
        <w:spacing w:line="600" w:lineRule="exact"/>
        <w:ind w:left="0"/>
        <w:jc w:val="both"/>
        <w:textAlignment w:val="auto"/>
        <w:outlineLvl w:val="9"/>
        <w:rPr>
          <w:rFonts w:hint="eastAsia" w:ascii="宋体" w:hAnsi="宋体" w:eastAsia="方正小标宋简体" w:cs="方正小标宋简体"/>
          <w:bCs/>
          <w:sz w:val="44"/>
          <w:szCs w:val="44"/>
          <w:highlight w:val="none"/>
        </w:rPr>
      </w:pPr>
    </w:p>
    <w:p>
      <w:pPr>
        <w:pStyle w:val="5"/>
        <w:rPr>
          <w:rFonts w:hint="eastAsia" w:ascii="宋体" w:hAnsi="宋体" w:eastAsia="方正小标宋简体" w:cs="方正小标宋简体"/>
          <w:bCs/>
          <w:sz w:val="44"/>
          <w:szCs w:val="44"/>
          <w:highlight w:val="none"/>
        </w:rPr>
      </w:pPr>
    </w:p>
    <w:p>
      <w:pPr>
        <w:pStyle w:val="5"/>
        <w:rPr>
          <w:rFonts w:hint="eastAsia" w:ascii="宋体" w:hAnsi="宋体" w:eastAsia="方正小标宋简体" w:cs="方正小标宋简体"/>
          <w:bCs/>
          <w:sz w:val="44"/>
          <w:szCs w:val="44"/>
          <w:highlight w:val="none"/>
        </w:rPr>
      </w:pPr>
    </w:p>
    <w:p>
      <w:pPr>
        <w:pStyle w:val="5"/>
        <w:rPr>
          <w:rFonts w:hint="eastAsia" w:ascii="宋体" w:hAnsi="宋体" w:eastAsia="方正小标宋简体" w:cs="方正小标宋简体"/>
          <w:bCs/>
          <w:sz w:val="44"/>
          <w:szCs w:val="44"/>
          <w:highlight w:val="none"/>
        </w:rPr>
      </w:pPr>
    </w:p>
    <w:p>
      <w:pPr>
        <w:widowControl w:val="0"/>
        <w:wordWrap/>
        <w:spacing w:line="600" w:lineRule="exact"/>
        <w:ind w:left="0"/>
        <w:jc w:val="both"/>
        <w:textAlignment w:val="auto"/>
        <w:outlineLvl w:val="9"/>
        <w:rPr>
          <w:rFonts w:hint="eastAsia" w:ascii="宋体" w:hAnsi="宋体" w:eastAsia="黑体" w:cs="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四（第</w:t>
      </w:r>
      <w:r>
        <w:rPr>
          <w:rFonts w:hint="eastAsia" w:ascii="宋体" w:hAnsi="宋体" w:eastAsia="黑体" w:cs="黑体"/>
          <w:sz w:val="28"/>
          <w:szCs w:val="28"/>
          <w:highlight w:val="none"/>
          <w:lang w:val="en-US" w:eastAsia="zh-CN"/>
        </w:rPr>
        <w:t>1页/共2页</w:t>
      </w:r>
      <w:r>
        <w:rPr>
          <w:rFonts w:hint="eastAsia" w:ascii="宋体" w:hAnsi="宋体" w:eastAsia="黑体" w:cs="黑体"/>
          <w:sz w:val="28"/>
          <w:szCs w:val="28"/>
          <w:highlight w:val="none"/>
          <w:lang w:eastAsia="zh-CN"/>
        </w:rPr>
        <w:t>）</w:t>
      </w:r>
    </w:p>
    <w:p>
      <w:pPr>
        <w:widowControl w:val="0"/>
        <w:wordWrap/>
        <w:overflowPunct w:val="0"/>
        <w:autoSpaceDE w:val="0"/>
        <w:autoSpaceDN w:val="0"/>
        <w:adjustRightInd w:val="0"/>
        <w:snapToGrid w:val="0"/>
        <w:spacing w:line="600" w:lineRule="exact"/>
        <w:ind w:left="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年市级一般公共预算支出表</w:t>
      </w:r>
    </w:p>
    <w:p>
      <w:pPr>
        <w:widowControl w:val="0"/>
        <w:wordWrap/>
        <w:spacing w:line="600" w:lineRule="exact"/>
        <w:ind w:lef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79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07"/>
        <w:gridCol w:w="1650"/>
        <w:gridCol w:w="1635"/>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7" w:hRule="atLeast"/>
          <w:tblHeader/>
          <w:jc w:val="center"/>
        </w:trPr>
        <w:tc>
          <w:tcPr>
            <w:tcW w:w="42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项目</w:t>
            </w:r>
          </w:p>
        </w:tc>
        <w:tc>
          <w:tcPr>
            <w:tcW w:w="1650" w:type="dxa"/>
            <w:vMerge w:val="restar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宋体" w:hAnsi="宋体" w:eastAsia="黑体" w:cs="黑体"/>
                <w:i w:val="0"/>
                <w:color w:val="000000"/>
                <w:kern w:val="0"/>
                <w:sz w:val="24"/>
                <w:szCs w:val="24"/>
                <w:highlight w:val="none"/>
                <w:u w:val="none"/>
                <w:lang w:val="en-US" w:eastAsia="zh-CN"/>
              </w:rPr>
              <w:t>2020年</w:t>
            </w:r>
          </w:p>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执行数</w:t>
            </w:r>
          </w:p>
        </w:tc>
        <w:tc>
          <w:tcPr>
            <w:tcW w:w="294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2021年预算数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1" w:hRule="atLeast"/>
          <w:tblHeader/>
          <w:jc w:val="center"/>
        </w:trPr>
        <w:tc>
          <w:tcPr>
            <w:tcW w:w="42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spacing w:after="0"/>
              <w:ind w:left="0"/>
              <w:jc w:val="center"/>
              <w:rPr>
                <w:rFonts w:hint="eastAsia" w:ascii="宋体" w:hAnsi="宋体" w:eastAsia="黑体" w:cs="黑体"/>
                <w:i w:val="0"/>
                <w:color w:val="000000"/>
                <w:sz w:val="24"/>
                <w:szCs w:val="24"/>
                <w:highlight w:val="none"/>
                <w:u w:val="none"/>
              </w:rPr>
            </w:pPr>
          </w:p>
        </w:tc>
        <w:tc>
          <w:tcPr>
            <w:tcW w:w="1650"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val="0"/>
              <w:wordWrap/>
              <w:spacing w:after="0"/>
              <w:ind w:left="0"/>
              <w:jc w:val="center"/>
              <w:rPr>
                <w:rFonts w:hint="eastAsia" w:ascii="宋体" w:hAnsi="宋体" w:eastAsia="黑体" w:cs="黑体"/>
                <w:i w:val="0"/>
                <w:color w:val="000000"/>
                <w:sz w:val="24"/>
                <w:szCs w:val="24"/>
                <w:highlight w:val="none"/>
                <w:u w:val="none"/>
              </w:rPr>
            </w:pPr>
          </w:p>
        </w:tc>
        <w:tc>
          <w:tcPr>
            <w:tcW w:w="16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当年财力安排支出</w:t>
            </w:r>
          </w:p>
        </w:tc>
        <w:tc>
          <w:tcPr>
            <w:tcW w:w="13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预算数为上年执行数%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一、本级支出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376922</w:t>
            </w:r>
          </w:p>
        </w:tc>
        <w:tc>
          <w:tcPr>
            <w:tcW w:w="163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434916</w:t>
            </w:r>
          </w:p>
        </w:tc>
        <w:tc>
          <w:tcPr>
            <w:tcW w:w="130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一般公共服务支出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49257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45867</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国防支出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806</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774</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公共安全支出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29473</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26134</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教育支出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131442</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130402</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科学技术支出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4463</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11500</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257.7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文化旅游体育与传媒支出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9153</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8547</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社会保障和就业支出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50306</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56266</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卫生健康支出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25936</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35319</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节能环保支出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7791</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4491</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城乡社区支出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6812</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18887</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农林水支出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19925</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28686</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交通运输支出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8987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10555</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资源勘探信息等支出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1224</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1513</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商业服务业等支出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347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291</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金融支出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100</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援助其他地区支出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820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840</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自然资源海洋气象等支出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2888</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3822</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  住房保障支出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13844</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14158</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102.3 </w:t>
            </w:r>
          </w:p>
        </w:tc>
      </w:tr>
    </w:tbl>
    <w:p>
      <w:pPr>
        <w:widowControl w:val="0"/>
        <w:wordWrap/>
        <w:spacing w:line="600" w:lineRule="exact"/>
        <w:ind w:left="0"/>
        <w:jc w:val="both"/>
        <w:textAlignment w:val="auto"/>
        <w:outlineLvl w:val="9"/>
        <w:rPr>
          <w:rFonts w:hint="eastAsia" w:ascii="宋体" w:hAnsi="宋体" w:eastAsia="黑体" w:cs="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四（第</w:t>
      </w:r>
      <w:r>
        <w:rPr>
          <w:rFonts w:hint="eastAsia" w:ascii="宋体" w:hAnsi="宋体" w:eastAsia="黑体" w:cs="黑体"/>
          <w:sz w:val="28"/>
          <w:szCs w:val="28"/>
          <w:highlight w:val="none"/>
          <w:lang w:val="en-US" w:eastAsia="zh-CN"/>
        </w:rPr>
        <w:t>2页/共2页</w:t>
      </w:r>
      <w:r>
        <w:rPr>
          <w:rFonts w:hint="eastAsia" w:ascii="宋体" w:hAnsi="宋体" w:eastAsia="黑体" w:cs="黑体"/>
          <w:sz w:val="28"/>
          <w:szCs w:val="28"/>
          <w:highlight w:val="none"/>
          <w:lang w:eastAsia="zh-CN"/>
        </w:rPr>
        <w:t>）</w:t>
      </w:r>
    </w:p>
    <w:p>
      <w:pPr>
        <w:widowControl w:val="0"/>
        <w:wordWrap/>
        <w:overflowPunct w:val="0"/>
        <w:autoSpaceDE w:val="0"/>
        <w:autoSpaceDN w:val="0"/>
        <w:adjustRightInd w:val="0"/>
        <w:snapToGrid w:val="0"/>
        <w:spacing w:line="600" w:lineRule="exact"/>
        <w:ind w:left="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年市级一般公共预算支出表</w:t>
      </w:r>
    </w:p>
    <w:p>
      <w:pPr>
        <w:widowControl w:val="0"/>
        <w:wordWrap/>
        <w:spacing w:line="600" w:lineRule="exact"/>
        <w:ind w:left="0"/>
        <w:jc w:val="center"/>
        <w:textAlignment w:val="auto"/>
        <w:outlineLvl w:val="9"/>
        <w:rPr>
          <w:rFonts w:hint="eastAsia" w:ascii="宋体" w:hAnsi="宋体" w:eastAsia="宋体" w:cs="宋体"/>
          <w:bCs/>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79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07"/>
        <w:gridCol w:w="1650"/>
        <w:gridCol w:w="1635"/>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7" w:hRule="atLeast"/>
          <w:tblHeader/>
          <w:jc w:val="center"/>
        </w:trPr>
        <w:tc>
          <w:tcPr>
            <w:tcW w:w="42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项目</w:t>
            </w:r>
          </w:p>
        </w:tc>
        <w:tc>
          <w:tcPr>
            <w:tcW w:w="1650" w:type="dxa"/>
            <w:vMerge w:val="restar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宋体" w:hAnsi="宋体" w:eastAsia="黑体" w:cs="黑体"/>
                <w:i w:val="0"/>
                <w:color w:val="000000"/>
                <w:kern w:val="0"/>
                <w:sz w:val="24"/>
                <w:szCs w:val="24"/>
                <w:highlight w:val="none"/>
                <w:u w:val="none"/>
                <w:lang w:val="en-US" w:eastAsia="zh-CN"/>
              </w:rPr>
              <w:t>2020年</w:t>
            </w:r>
          </w:p>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执行数</w:t>
            </w:r>
          </w:p>
        </w:tc>
        <w:tc>
          <w:tcPr>
            <w:tcW w:w="294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2021年预算数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1" w:hRule="atLeast"/>
          <w:tblHeader/>
          <w:jc w:val="center"/>
        </w:trPr>
        <w:tc>
          <w:tcPr>
            <w:tcW w:w="42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spacing w:after="0"/>
              <w:ind w:left="0"/>
              <w:jc w:val="center"/>
              <w:rPr>
                <w:rFonts w:hint="eastAsia" w:ascii="宋体" w:hAnsi="宋体" w:eastAsia="黑体" w:cs="黑体"/>
                <w:i w:val="0"/>
                <w:color w:val="000000"/>
                <w:sz w:val="24"/>
                <w:szCs w:val="24"/>
                <w:highlight w:val="none"/>
                <w:u w:val="none"/>
              </w:rPr>
            </w:pPr>
          </w:p>
        </w:tc>
        <w:tc>
          <w:tcPr>
            <w:tcW w:w="1650"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val="0"/>
              <w:wordWrap/>
              <w:spacing w:after="0"/>
              <w:ind w:left="0"/>
              <w:jc w:val="center"/>
              <w:rPr>
                <w:rFonts w:hint="eastAsia" w:ascii="宋体" w:hAnsi="宋体" w:eastAsia="黑体" w:cs="黑体"/>
                <w:i w:val="0"/>
                <w:color w:val="000000"/>
                <w:sz w:val="24"/>
                <w:szCs w:val="24"/>
                <w:highlight w:val="none"/>
                <w:u w:val="none"/>
              </w:rPr>
            </w:pPr>
          </w:p>
        </w:tc>
        <w:tc>
          <w:tcPr>
            <w:tcW w:w="16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当年财力安排支出</w:t>
            </w:r>
          </w:p>
        </w:tc>
        <w:tc>
          <w:tcPr>
            <w:tcW w:w="13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预算数为上年执行数%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粮油物资储备支出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250</w:t>
            </w:r>
          </w:p>
        </w:tc>
        <w:tc>
          <w:tcPr>
            <w:tcW w:w="163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94</w:t>
            </w:r>
          </w:p>
        </w:tc>
        <w:tc>
          <w:tcPr>
            <w:tcW w:w="130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灾害防治及应急管理支出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5594</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5117</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预备费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13000</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债务付息支出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7604</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18553</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二、上解上级支出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82986</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91642</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体制上解支出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9952</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9952</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出口退税专项上解支出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2120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2120</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专项上解支出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70914</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79570</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三、省提前通知转移支付安排支出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113543</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105800</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四、上级补助收入增量安排支出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125067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right"/>
              <w:rPr>
                <w:rFonts w:hint="eastAsia" w:ascii="宋体" w:hAnsi="宋体" w:eastAsia="宋体" w:cs="宋体"/>
                <w:i w:val="0"/>
                <w:color w:val="000000"/>
                <w:sz w:val="24"/>
                <w:szCs w:val="24"/>
                <w:highlight w:val="none"/>
                <w:u w:val="none"/>
              </w:rPr>
            </w:pP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五、补助镇级支出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50214</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28876</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六、动用预算稳定调节基金安排支出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8602</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5671</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七、上年结转结余</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2122</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3413</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八、调入资金安排的支出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6300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九、安排预算稳定调节基金</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5671</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十、一般债务还本支出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十一、一般债务收入安排的支出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15300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十二、预计结转结余</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3413</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合    计</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790143</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670318</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84.8 </w:t>
            </w:r>
          </w:p>
        </w:tc>
      </w:tr>
    </w:tbl>
    <w:p>
      <w:pPr>
        <w:widowControl w:val="0"/>
        <w:wordWrap/>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宋体" w:hAnsi="宋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  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kern w:val="0"/>
                <w:sz w:val="24"/>
                <w:szCs w:val="24"/>
                <w:u w:val="none"/>
                <w:lang w:val="en-US" w:eastAsia="zh-CN" w:bidi="ar"/>
              </w:rPr>
              <w:t>合计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434916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252752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182164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一般公共服务支出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45867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28302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人大事务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1347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864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864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864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机关服务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人大会议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人大监督</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人大代表履职能力提升</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其他人大事务支出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政协事务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854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545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545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545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政协会议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其他政协事务支出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政府办公厅（室）及相关机构事务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8816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4506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2792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2792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机关服务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2213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专项业务及机关事务管理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政务公开审批</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1146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信访事务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1714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其他政府办公厅（室）及相关机构事务支出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731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发展与改革事务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2079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1650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物价管理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其他发展与改革事务支出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统计信息事务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868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统计抽样调查</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391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其他统计信息事务支出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3页/共27页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财政事务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6925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4664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1773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1773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831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财政国库业务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信息化建设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2891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2891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其他财政事务支出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1048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税收事务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 xml:space="preserve">476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 xml:space="preserve">476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其他税收事务支出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 xml:space="preserve">476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 xml:space="preserve">476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审计事务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1599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681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681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681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审计业务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726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信息化建设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其他审计事务支出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纪检监察事务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2494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1864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1693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1693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大案要案查处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175 </w:t>
            </w:r>
          </w:p>
        </w:tc>
      </w:tr>
    </w:tbl>
    <w:p>
      <w:pPr>
        <w:rPr>
          <w:rFonts w:hint="eastAsia" w:ascii="宋体" w:hAnsi="宋体"/>
          <w:highlight w:val="none"/>
        </w:rPr>
      </w:pPr>
    </w:p>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4页/共27页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其他纪检监察事务支出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294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商贸事务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710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招商引资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710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其他商贸事务支出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知识产权事务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知识产权宏观管理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民族事务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民族工作专项</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其他民族事务支出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港澳台侨事务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其他港澳台事务支出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档案事务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322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档案馆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5页/共27页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其他档案事务支出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民主党派及工商联事务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参政议政</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其他民主党派及工商联事务支出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群众团体事务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441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343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其他群众团体事务支出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党委办公厅（室）及相关机构事务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3334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2224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1590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1590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专项业务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634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634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其他党委办公厅（室）及相关机构事务支出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组织事务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2754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1078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814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6页/共27页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1631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公务员事务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264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264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其他组织事务支出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宣传事务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1517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349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349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其他宣传事务支出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1036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统战事务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460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399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399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其他统战事务支出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市场监督管理事务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6650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5652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3732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3732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市场秩序执法</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质量基础</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7页/共27页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食品安全监管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1920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其他市场监督管理事务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645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其他一般公共服务支出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cs="宋体"/>
                <w:i w:val="0"/>
                <w:color w:val="000000"/>
                <w:kern w:val="0"/>
                <w:sz w:val="24"/>
                <w:szCs w:val="24"/>
                <w:u w:val="none"/>
                <w:lang w:val="en-US" w:eastAsia="zh-CN" w:bidi="ar"/>
              </w:rPr>
              <w:t>1257</w:t>
            </w:r>
            <w:r>
              <w:rPr>
                <w:rFonts w:hint="eastAsia" w:ascii="宋体" w:hAnsi="宋体" w:eastAsia="宋体" w:cs="宋体"/>
                <w:i w:val="0"/>
                <w:color w:val="000000"/>
                <w:kern w:val="0"/>
                <w:sz w:val="24"/>
                <w:szCs w:val="24"/>
                <w:u w:val="none"/>
                <w:lang w:val="en-US" w:eastAsia="zh-CN" w:bidi="ar"/>
              </w:rPr>
              <w:t xml:space="preserve">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cs="宋体"/>
                <w:i w:val="0"/>
                <w:color w:val="000000"/>
                <w:kern w:val="0"/>
                <w:sz w:val="24"/>
                <w:szCs w:val="24"/>
                <w:u w:val="none"/>
                <w:lang w:val="en-US" w:eastAsia="zh-CN" w:bidi="ar"/>
              </w:rPr>
              <w:t>310</w:t>
            </w:r>
            <w:r>
              <w:rPr>
                <w:rFonts w:hint="eastAsia" w:ascii="宋体" w:hAnsi="宋体" w:eastAsia="宋体" w:cs="宋体"/>
                <w:i w:val="0"/>
                <w:color w:val="000000"/>
                <w:kern w:val="0"/>
                <w:sz w:val="24"/>
                <w:szCs w:val="24"/>
                <w:u w:val="none"/>
                <w:lang w:val="en-US" w:eastAsia="zh-CN" w:bidi="ar"/>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其他一般公共服务支出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cs="宋体"/>
                <w:i w:val="0"/>
                <w:color w:val="000000"/>
                <w:kern w:val="0"/>
                <w:sz w:val="24"/>
                <w:szCs w:val="24"/>
                <w:u w:val="none"/>
                <w:lang w:val="en-US" w:eastAsia="zh-CN" w:bidi="ar"/>
              </w:rPr>
              <w:t>1257</w:t>
            </w:r>
            <w:r>
              <w:rPr>
                <w:rFonts w:hint="eastAsia" w:ascii="宋体" w:hAnsi="宋体" w:eastAsia="宋体" w:cs="宋体"/>
                <w:i w:val="0"/>
                <w:color w:val="000000"/>
                <w:kern w:val="0"/>
                <w:sz w:val="24"/>
                <w:szCs w:val="24"/>
                <w:u w:val="none"/>
                <w:lang w:val="en-US" w:eastAsia="zh-CN" w:bidi="ar"/>
              </w:rPr>
              <w:t xml:space="preserve">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cs="宋体"/>
                <w:i w:val="0"/>
                <w:color w:val="000000"/>
                <w:kern w:val="0"/>
                <w:sz w:val="24"/>
                <w:szCs w:val="24"/>
                <w:u w:val="none"/>
                <w:lang w:val="en-US" w:eastAsia="zh-CN" w:bidi="ar"/>
              </w:rPr>
              <w:t>310</w:t>
            </w:r>
            <w:r>
              <w:rPr>
                <w:rFonts w:hint="eastAsia" w:ascii="宋体" w:hAnsi="宋体" w:eastAsia="宋体" w:cs="宋体"/>
                <w:i w:val="0"/>
                <w:color w:val="000000"/>
                <w:kern w:val="0"/>
                <w:sz w:val="24"/>
                <w:szCs w:val="24"/>
                <w:u w:val="none"/>
                <w:lang w:val="en-US" w:eastAsia="zh-CN" w:bidi="ar"/>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国防支出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774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291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国防动员</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774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291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人民防空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民兵</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其他国防动员支出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390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公共安全支出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26134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14570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11564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武装警察部队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武装警察部队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公安</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23612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12618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10994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12618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12618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信息化建设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执法办案</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2425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2425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8页/共27页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宋体" w:hAnsi="宋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特别业务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2514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2514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其他公安支出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5265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5265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国家安全</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安全业务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法院</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其他法院支出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司法</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1260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952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904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904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基层司法业务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普法宣传</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公共法律服务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社区矫正</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法制建设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其他司法支出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其他公共安全支出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其他公共安全支出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9页/共27页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教育支出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130402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114792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15610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教育管理事务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2768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423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423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其他教育管理事务支出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2345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2277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普通教育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88355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85540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学前教育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3039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2420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小学教育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37935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36717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初中教育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26508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25731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高中教育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20485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20370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其他普通教育支出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388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职业教育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16314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15864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中等职业教育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4730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4664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技校教育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449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449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高等职业教育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11135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10751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成人教育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6236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6236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成人初等教育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6236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6236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特殊教育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713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685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特殊学校教育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713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685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10页/共27页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进修及培训</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5680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教师进修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717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717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干部教育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4763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683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培训支出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教育费附加安排的支出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8851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967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7884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农村中小学校舍建设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农村中小学教学设施</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其他教育费附加安排的支出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8286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967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7319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其他教育支出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1485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其他教育支出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1485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科学技术支出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11500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1081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科学技术管理事务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其他科学技术管理事务支出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技术研究与开发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10838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838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机构运行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838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838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科技成果转化与扩散</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科技条件与服务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11页/共27页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其他科技条件与服务支出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科学技术普及</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科普活动</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科技馆站</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其他科学技术普及支出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科技交流与合作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其他科技交流与合作支出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科技重大项目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重点研发计划</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291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其他科技重大项目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文化旅游体育与传媒支出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8547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4250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4297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文化和旅游</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4371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3117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1162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1162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图书馆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458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艺术表演场所</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艺术表演团体</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934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927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文化活动</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群众文化</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61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12页/共27页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文化和旅游市场管理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旅游宣传</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924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文化和旅游管理事务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其他文化和旅游支出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文物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435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文物保护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博物馆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其他文物支出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体育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其他体育支出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新闻出版电影</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其他新闻出版电影支出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广播电视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i w:val="0"/>
                <w:color w:val="000000"/>
                <w:sz w:val="24"/>
                <w:szCs w:val="24"/>
                <w:highlight w:val="none"/>
                <w:u w:val="none"/>
                <w:lang w:val="en-US" w:eastAsia="zh-CN"/>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其他广播电视支出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i w:val="0"/>
                <w:color w:val="000000"/>
                <w:sz w:val="24"/>
                <w:szCs w:val="24"/>
                <w:highlight w:val="none"/>
                <w:u w:val="none"/>
                <w:lang w:val="en-US" w:eastAsia="zh-CN"/>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其他文化旅游体育与传媒支出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其他文化旅游体育与传媒支出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社会保障和就业支出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56266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35847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人力资源和社会保障管理事务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7262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2839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4423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13页/共27页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1445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1445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劳动保障监察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就业管理事务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社会保险业务管理事务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信息化建设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社会保险经办机构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841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劳动关系和维权</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劳动人事争议调解仲裁</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政府特殊津贴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事业运行（人力资源和社会保障管理事务）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861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861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其他人力资源和社会保障管理事务支出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3593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3441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民政管理事务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619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430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430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行政区划和地名管理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基层政权建设和社区治理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其他民政管理事务支出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行政事业单位养老支出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30900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29896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1004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14页/共27页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行政单位离退休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4825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4825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事业单位离退休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10794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10794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离退休人员管理机构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机关事业单位基本养老保险缴费支出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13883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13883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机关事业单位职业年金缴费支出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对机关事业单位基本养老保险基金的补助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其他行政事业单位离退休支出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就业补助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职业培训补贴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抚恤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2986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伤残抚恤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在乡复员、退伍军人生活补助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优抚事业单位支出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义务兵优待</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2007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其他优抚支出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427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退役安置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1407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退役士兵安置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318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军队移交政府离退休干部管理机构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15页/共27页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军队转业干部安置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874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社会福利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2941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797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儿童福利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老年福利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1146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殡葬</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824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349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社会福利事业单位</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386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386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其他社会福利支出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残疾人事业</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机关服务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残疾人康复</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残疾人就业和扶贫</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残疾人生活和护理补贴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其他残疾人事业支出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449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358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红十字事业</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其他红十字事业支出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最低生活保障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933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933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16页/共27页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城市最低生活保障金支出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933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临时救助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561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临时救助支出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427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流浪乞讨人员救助支出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其他生活救助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其他城市生活救助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财政对基本养老保险基金的补助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5212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财政对城乡居民基本养老保险基金的补助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5212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退役军人管理事务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682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拥军优属</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其他退役军人事务管理支出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其他社会保障和就业支出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680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其他社会保障和就业支出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680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卫生健康支出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35319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9434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25885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卫生健康管理事务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832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712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653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17页/共27页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其他卫生健康管理事务支出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公立医院</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2729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综合医院</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1938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1689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中医（民族）医院</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426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426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其他专科医院</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基层医疗卫生机构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5778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5778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乡镇卫生院</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5377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5377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其他基层医疗卫生机构支出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公共卫生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11167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2464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8703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疾病预防控制机构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1083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1033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卫生监督机构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511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妇幼保健机构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669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669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精神卫生机构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采供血机构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基本公共卫生服务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1363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重大公共卫生服务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1875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突发公共卫生事件应急处理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其他公共卫生支出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1405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1405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18页/共27页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计划生育事务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1585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计划生育机构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计划生育服务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675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其他计划生育事务支出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544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行政事业单位医疗</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3622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1985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公务员医疗补助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其他行政事业单位医疗支出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1822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财政对基本医疗保险基金的补助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7169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7169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财政对城乡居民基本医疗保险基金的补助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7169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7169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医疗救助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586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城乡医疗救助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586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优抚对象医疗</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优抚对象医疗补助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其他优抚对象医疗支出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医疗保障管理事务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1017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907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866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866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其他医疗保障管理事务支出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110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19页/共27页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宋体" w:hAnsi="宋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其他卫生健康支出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其他卫生健康支出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节能环保支出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4491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1377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3114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环境保护管理事务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1784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1377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318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318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生态环境保护宣传</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环境保护法规、规划及标准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应对气候变化管理事务支出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其他环境保护管理事务支出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1178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1059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环境监测与监察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其他环境监测与监察支出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污染防治</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大气</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水体</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土壤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其他污染防治支出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1931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城乡社区支出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18887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6572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12315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20页/共27页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宋体" w:hAnsi="宋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城乡社区管理事务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6069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3957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城管执法</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1726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516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工程建设标准规范编制与监管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254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254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工程建设管理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884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884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市政公用行业市场监管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住宅建设与房地产市场监管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1094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666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其他城乡社区管理事务支出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1452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1023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城乡社区规划与管理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5644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559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城乡社区规划与管理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5644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559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城乡社区环境卫生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919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801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城乡社区环境卫生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919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801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建设市场管理与监督</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建设市场管理与监督</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其他城乡社区支出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5755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755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其他城乡社区支出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5755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755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农林水支出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28686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15406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13280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21页/共27页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农业农村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14242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6771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7471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888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888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5016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科技转化与推广服务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病虫害控制</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农产品质量安全</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执法监管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行业业务管理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农业合作经济</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农产品加工与促销</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5668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农村社会事业</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农村道路建设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1385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719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其他农业农村支出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388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林业和草原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5977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4812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1316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3496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3496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森林生态效益补偿</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497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497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22页/共27页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动植物保护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执法与监督</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林业草原防灾减灾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其他林业和草原支出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水利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4711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2871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725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725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水利工程建设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水利工程运行与维护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水土保持</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水资源节约管理与保护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894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894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防汛</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农村水利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其他水利支出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2184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627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扶贫</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2671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352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319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扶贫事业机构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其他扶贫支出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2000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23页/共27页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农村综合改革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其他农村综合改革支出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普惠金融发展支出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348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农业保险保费补贴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创业担保贷款贴息</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其他农林水支出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其他农林水支出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交通运输支出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10555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4710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5845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公路水路运输</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10516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4710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5806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公路建设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1486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公路养护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公路和运输安全</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公路运输管理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3798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3340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航道维护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294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294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海事管理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254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其他公路水路运输支出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1135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其他交通运输支出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39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24页/共27页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其他交通运输支出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资源勘探工业信息等支出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1513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955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工业和信息产业监管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1309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757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706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706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其他工业和信息产业监管支出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597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支持中小企业发展和管理支出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其他支持中小企业发展和管理支出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商业服务业等支出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291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商业流通事务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291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其他商业流通事务支出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金融支出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金融部门监管支出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金融部门其他监管支出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援助其他地区支出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840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840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840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25页/共27页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自然资源海洋气象等支出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3822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2925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自然资源事务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3578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2741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2262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2262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其他自然资源事务支出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气象事务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气象事业机构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其他气象事务支出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住房保障支出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14158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10768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保障性安居工程支出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2855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公共租赁住房</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2855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住房改革支出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10567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10567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住房公积金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10567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10567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城乡社区住宅</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736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住房公积金管理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736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粮油物资储备支出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粮油储备</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其他粮油储备支出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26页/共27页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重要商品储备</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肉类储备</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灾害防治及应急管理支出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5117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1194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3923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应急管理事务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1540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1051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745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745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安全监管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其他应急管理支出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消防事务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3346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其他消防事务支出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3346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煤矿安全</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地震事务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地震监测</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地震灾害预防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自然灾害救灾及恢复重建支出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70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27页/共27页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000000"/>
                <w:sz w:val="24"/>
                <w:szCs w:val="24"/>
                <w:highlight w:val="none"/>
                <w:u w:val="none"/>
              </w:rPr>
            </w:pPr>
            <w:r>
              <w:rPr>
                <w:rFonts w:hint="eastAsia" w:ascii="宋体" w:hAnsi="宋体" w:eastAsia="黑体" w:cs="黑体"/>
                <w:b w:val="0"/>
                <w:bCs w:val="0"/>
                <w:i w:val="0"/>
                <w:color w:val="000000"/>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自然灾害救灾补助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预备费</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13000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预备费</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13000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u w:val="none"/>
                <w:lang w:val="en-US" w:eastAsia="zh-CN" w:bidi="ar"/>
              </w:rPr>
              <w:t>债务付息支出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18553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18553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地方政府一般债务付息支出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18553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18553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地方政府一般债券付息支出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18553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18553 </w:t>
            </w:r>
          </w:p>
        </w:tc>
      </w:tr>
    </w:tbl>
    <w:p>
      <w:pPr>
        <w:widowControl w:val="0"/>
        <w:wordWrap/>
        <w:spacing w:line="600" w:lineRule="exact"/>
        <w:ind w:left="0"/>
        <w:jc w:val="both"/>
        <w:textAlignment w:val="auto"/>
        <w:outlineLvl w:val="9"/>
        <w:rPr>
          <w:rFonts w:hint="eastAsia" w:ascii="宋体" w:hAnsi="宋体" w:eastAsia="黑体" w:cs="黑体"/>
          <w:sz w:val="28"/>
          <w:szCs w:val="28"/>
          <w:highlight w:val="none"/>
        </w:rPr>
      </w:pPr>
    </w:p>
    <w:p>
      <w:pPr>
        <w:widowControl w:val="0"/>
        <w:wordWrap/>
        <w:spacing w:line="600" w:lineRule="exact"/>
        <w:ind w:left="0"/>
        <w:jc w:val="both"/>
        <w:textAlignment w:val="auto"/>
        <w:outlineLvl w:val="9"/>
        <w:rPr>
          <w:rFonts w:hint="eastAsia" w:ascii="宋体" w:hAnsi="宋体" w:eastAsia="黑体" w:cs="黑体"/>
          <w:sz w:val="28"/>
          <w:szCs w:val="28"/>
          <w:highlight w:val="none"/>
        </w:rPr>
      </w:pPr>
    </w:p>
    <w:p>
      <w:pPr>
        <w:widowControl w:val="0"/>
        <w:wordWrap/>
        <w:spacing w:line="600" w:lineRule="exact"/>
        <w:ind w:left="0"/>
        <w:jc w:val="both"/>
        <w:textAlignment w:val="auto"/>
        <w:outlineLvl w:val="9"/>
        <w:rPr>
          <w:rFonts w:hint="eastAsia" w:ascii="宋体" w:hAnsi="宋体" w:eastAsia="黑体" w:cs="黑体"/>
          <w:sz w:val="28"/>
          <w:szCs w:val="28"/>
          <w:highlight w:val="none"/>
        </w:rPr>
      </w:pPr>
    </w:p>
    <w:p>
      <w:pPr>
        <w:widowControl w:val="0"/>
        <w:wordWrap/>
        <w:spacing w:line="600" w:lineRule="exact"/>
        <w:ind w:left="0"/>
        <w:jc w:val="both"/>
        <w:textAlignment w:val="auto"/>
        <w:outlineLvl w:val="9"/>
        <w:rPr>
          <w:rFonts w:hint="eastAsia" w:ascii="宋体" w:hAnsi="宋体" w:eastAsia="黑体" w:cs="黑体"/>
          <w:sz w:val="28"/>
          <w:szCs w:val="28"/>
          <w:highlight w:val="none"/>
        </w:rPr>
      </w:pPr>
    </w:p>
    <w:p>
      <w:pPr>
        <w:widowControl w:val="0"/>
        <w:wordWrap/>
        <w:spacing w:line="600" w:lineRule="exact"/>
        <w:ind w:left="0"/>
        <w:jc w:val="both"/>
        <w:textAlignment w:val="auto"/>
        <w:outlineLvl w:val="9"/>
        <w:rPr>
          <w:rFonts w:hint="eastAsia" w:ascii="宋体" w:hAnsi="宋体" w:eastAsia="黑体" w:cs="黑体"/>
          <w:sz w:val="28"/>
          <w:szCs w:val="28"/>
          <w:highlight w:val="none"/>
        </w:rPr>
      </w:pPr>
    </w:p>
    <w:p>
      <w:pPr>
        <w:widowControl w:val="0"/>
        <w:wordWrap/>
        <w:spacing w:line="600" w:lineRule="exact"/>
        <w:ind w:left="0"/>
        <w:jc w:val="both"/>
        <w:textAlignment w:val="auto"/>
        <w:outlineLvl w:val="9"/>
        <w:rPr>
          <w:rFonts w:hint="eastAsia" w:ascii="宋体" w:hAnsi="宋体" w:eastAsia="黑体" w:cs="黑体"/>
          <w:sz w:val="28"/>
          <w:szCs w:val="28"/>
          <w:highlight w:val="none"/>
        </w:rPr>
      </w:pPr>
    </w:p>
    <w:p>
      <w:pPr>
        <w:widowControl w:val="0"/>
        <w:wordWrap/>
        <w:spacing w:line="600" w:lineRule="exact"/>
        <w:ind w:left="0"/>
        <w:jc w:val="both"/>
        <w:textAlignment w:val="auto"/>
        <w:outlineLvl w:val="9"/>
        <w:rPr>
          <w:rFonts w:hint="eastAsia" w:ascii="宋体" w:hAnsi="宋体" w:eastAsia="黑体" w:cs="黑体"/>
          <w:sz w:val="28"/>
          <w:szCs w:val="28"/>
          <w:highlight w:val="none"/>
        </w:rPr>
      </w:pPr>
    </w:p>
    <w:p>
      <w:pPr>
        <w:widowControl w:val="0"/>
        <w:wordWrap/>
        <w:spacing w:line="600" w:lineRule="exact"/>
        <w:ind w:left="0"/>
        <w:jc w:val="both"/>
        <w:textAlignment w:val="auto"/>
        <w:outlineLvl w:val="9"/>
        <w:rPr>
          <w:rFonts w:hint="eastAsia" w:ascii="宋体" w:hAnsi="宋体" w:eastAsia="黑体" w:cs="黑体"/>
          <w:sz w:val="28"/>
          <w:szCs w:val="28"/>
          <w:highlight w:val="none"/>
        </w:rPr>
      </w:pPr>
    </w:p>
    <w:p>
      <w:pPr>
        <w:widowControl w:val="0"/>
        <w:wordWrap/>
        <w:spacing w:line="600" w:lineRule="exact"/>
        <w:ind w:left="0"/>
        <w:jc w:val="both"/>
        <w:textAlignment w:val="auto"/>
        <w:outlineLvl w:val="9"/>
        <w:rPr>
          <w:rFonts w:hint="eastAsia" w:ascii="宋体" w:hAnsi="宋体" w:eastAsia="黑体" w:cs="黑体"/>
          <w:sz w:val="28"/>
          <w:szCs w:val="28"/>
          <w:highlight w:val="none"/>
        </w:rPr>
      </w:pPr>
    </w:p>
    <w:p>
      <w:pPr>
        <w:widowControl w:val="0"/>
        <w:wordWrap/>
        <w:spacing w:line="600" w:lineRule="exact"/>
        <w:ind w:left="0"/>
        <w:jc w:val="both"/>
        <w:textAlignment w:val="auto"/>
        <w:outlineLvl w:val="9"/>
        <w:rPr>
          <w:rFonts w:hint="eastAsia" w:ascii="宋体" w:hAnsi="宋体" w:eastAsia="黑体" w:cs="黑体"/>
          <w:sz w:val="28"/>
          <w:szCs w:val="28"/>
          <w:highlight w:val="none"/>
        </w:rPr>
      </w:pPr>
    </w:p>
    <w:p>
      <w:pPr>
        <w:widowControl w:val="0"/>
        <w:wordWrap/>
        <w:spacing w:line="600" w:lineRule="exact"/>
        <w:ind w:left="0"/>
        <w:jc w:val="both"/>
        <w:textAlignment w:val="auto"/>
        <w:outlineLvl w:val="9"/>
        <w:rPr>
          <w:rFonts w:hint="eastAsia" w:ascii="宋体" w:hAnsi="宋体" w:eastAsia="黑体" w:cs="黑体"/>
          <w:sz w:val="28"/>
          <w:szCs w:val="28"/>
          <w:highlight w:val="none"/>
        </w:rPr>
      </w:pPr>
    </w:p>
    <w:p>
      <w:pPr>
        <w:widowControl w:val="0"/>
        <w:wordWrap/>
        <w:spacing w:line="600" w:lineRule="exact"/>
        <w:ind w:left="0"/>
        <w:jc w:val="both"/>
        <w:textAlignment w:val="auto"/>
        <w:outlineLvl w:val="9"/>
        <w:rPr>
          <w:rFonts w:hint="eastAsia" w:ascii="宋体" w:hAnsi="宋体" w:eastAsia="黑体" w:cs="黑体"/>
          <w:sz w:val="28"/>
          <w:szCs w:val="28"/>
          <w:highlight w:val="none"/>
        </w:rPr>
      </w:pPr>
    </w:p>
    <w:p>
      <w:pPr>
        <w:widowControl w:val="0"/>
        <w:wordWrap/>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六</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1页/共2页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年市级一般公共预算基本支出预算表</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bCs w:val="0"/>
          <w:color w:val="000000"/>
          <w:kern w:val="0"/>
          <w:sz w:val="36"/>
          <w:szCs w:val="36"/>
          <w:highlight w:val="none"/>
        </w:rPr>
      </w:pPr>
      <w:r>
        <w:rPr>
          <w:rFonts w:hint="eastAsia" w:ascii="楷体" w:hAnsi="楷体" w:eastAsia="楷体" w:cs="楷体"/>
          <w:b/>
          <w:bCs/>
          <w:color w:val="000000"/>
          <w:kern w:val="0"/>
          <w:sz w:val="36"/>
          <w:szCs w:val="36"/>
          <w:highlight w:val="none"/>
        </w:rPr>
        <w:t>（按政府预算支出经济分类科目）</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68"/>
        <w:gridCol w:w="2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blHead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2021年预算数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机关工资福利支出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51125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工资奖金津补贴</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26760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社会保障缴费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住房公积金</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其他工资福利支出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15881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机关商品和服务支出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办公经费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会议费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培训费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专用材料购置费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委托业务费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公务接待费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公务用车运行维护费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维修（护）费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105</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六</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2页/共2页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年市级一般公共预算基本支出预算表</w:t>
      </w:r>
    </w:p>
    <w:p>
      <w:pPr>
        <w:widowControl w:val="0"/>
        <w:wordWrap/>
        <w:adjustRightInd w:val="0"/>
        <w:snapToGrid w:val="0"/>
        <w:spacing w:line="720" w:lineRule="exact"/>
        <w:ind w:left="0" w:leftChars="0"/>
        <w:jc w:val="center"/>
        <w:textAlignment w:val="auto"/>
        <w:outlineLvl w:val="9"/>
        <w:rPr>
          <w:rFonts w:hint="eastAsia" w:ascii="楷体" w:hAnsi="楷体" w:eastAsia="楷体" w:cs="楷体"/>
          <w:b/>
          <w:bCs/>
          <w:color w:val="000000"/>
          <w:kern w:val="0"/>
          <w:sz w:val="36"/>
          <w:szCs w:val="36"/>
          <w:highlight w:val="none"/>
        </w:rPr>
      </w:pPr>
      <w:r>
        <w:rPr>
          <w:rFonts w:hint="eastAsia" w:ascii="楷体" w:hAnsi="楷体" w:eastAsia="楷体" w:cs="楷体"/>
          <w:b/>
          <w:bCs/>
          <w:color w:val="000000"/>
          <w:kern w:val="0"/>
          <w:sz w:val="36"/>
          <w:szCs w:val="36"/>
          <w:highlight w:val="none"/>
        </w:rPr>
        <w:t>（按政府预算支出经济分类科目）</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68"/>
        <w:gridCol w:w="2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blHead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2021年预算数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其他商品和服务支出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机关资本性支出（一）</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设备购置</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对事业单位经常性补助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178120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工资福利支出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170626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商品和服务支出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对事业单位资本性补助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资本性支出（一）</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对个人和家庭的补助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16838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社会福利和救助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离退休费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15281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合   计</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252752</w:t>
            </w:r>
          </w:p>
        </w:tc>
      </w:tr>
    </w:tbl>
    <w:p>
      <w:pPr>
        <w:pStyle w:val="2"/>
        <w:rPr>
          <w:rFonts w:hint="eastAsia" w:ascii="宋体" w:hAnsi="宋体" w:eastAsia="黑体" w:cs="黑体"/>
          <w:b w:val="0"/>
          <w:bCs w:val="0"/>
          <w:i w:val="0"/>
          <w:color w:val="000000"/>
          <w:kern w:val="0"/>
          <w:sz w:val="24"/>
          <w:szCs w:val="24"/>
          <w:highlight w:val="none"/>
          <w:u w:val="none"/>
          <w:lang w:val="en-US" w:eastAsia="zh-CN"/>
        </w:rPr>
      </w:pPr>
    </w:p>
    <w:p>
      <w:pPr>
        <w:pStyle w:val="2"/>
        <w:rPr>
          <w:rFonts w:hint="eastAsia" w:ascii="宋体" w:hAnsi="宋体"/>
          <w:highlight w:val="none"/>
        </w:rPr>
      </w:pPr>
      <w:r>
        <w:rPr>
          <w:rFonts w:hint="eastAsia" w:ascii="宋体" w:hAnsi="宋体" w:eastAsia="黑体" w:cs="黑体"/>
          <w:b w:val="0"/>
          <w:bCs w:val="0"/>
          <w:i w:val="0"/>
          <w:color w:val="000000"/>
          <w:kern w:val="0"/>
          <w:sz w:val="24"/>
          <w:szCs w:val="24"/>
          <w:highlight w:val="none"/>
          <w:u w:val="none"/>
          <w:lang w:val="en-US" w:eastAsia="zh-CN"/>
        </w:rPr>
        <w:t>备注：</w:t>
      </w:r>
      <w:r>
        <w:rPr>
          <w:rFonts w:hint="eastAsia" w:ascii="宋体" w:hAnsi="宋体" w:eastAsia="宋体" w:cs="宋体"/>
          <w:i w:val="0"/>
          <w:color w:val="000000"/>
          <w:kern w:val="0"/>
          <w:sz w:val="24"/>
          <w:szCs w:val="24"/>
          <w:highlight w:val="none"/>
          <w:u w:val="none"/>
          <w:lang w:val="en-US" w:eastAsia="zh-CN"/>
        </w:rPr>
        <w:t>按照《财政部关于印发&lt;支出经济分类科目改革方案&gt;的通知》（财预〔2017〕98号）要求，从2018年起按预算支出经济分类科目编制政府预算。</w:t>
      </w:r>
    </w:p>
    <w:p>
      <w:pPr>
        <w:widowControl w:val="0"/>
        <w:wordWrap/>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highlight w:val="none"/>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七</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1页/共1页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年市级一般公共预算“三公”经费</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支出预算表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76"/>
        <w:gridCol w:w="3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2021年预算数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因公出国（境）费用</w:t>
            </w:r>
          </w:p>
        </w:tc>
        <w:tc>
          <w:tcPr>
            <w:tcW w:w="391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公务接待费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1488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公务用车购置及运行费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3386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其中：公务用车运行维护费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2594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公务用车购置费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rPr>
              <w:t>合    计</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rPr>
              <w:t>5274</w:t>
            </w:r>
          </w:p>
        </w:tc>
      </w:tr>
    </w:tbl>
    <w:p>
      <w:pPr>
        <w:widowControl w:val="0"/>
        <w:wordWrap/>
        <w:overflowPunct w:val="0"/>
        <w:autoSpaceDE w:val="0"/>
        <w:autoSpaceDN w:val="0"/>
        <w:adjustRightInd w:val="0"/>
        <w:snapToGrid w:val="0"/>
        <w:spacing w:line="660" w:lineRule="exact"/>
        <w:ind w:left="0" w:leftChars="0" w:firstLine="480" w:firstLineChars="200"/>
        <w:jc w:val="both"/>
        <w:textAlignment w:val="auto"/>
        <w:outlineLvl w:val="9"/>
        <w:rPr>
          <w:rFonts w:hint="eastAsia" w:ascii="宋体" w:hAnsi="宋体" w:eastAsia="仿宋_GB2312" w:cs="仿宋_GB2312"/>
          <w:color w:val="000000"/>
          <w:kern w:val="0"/>
          <w:sz w:val="32"/>
          <w:szCs w:val="32"/>
          <w:highlight w:val="none"/>
          <w:lang w:val="en-US" w:eastAsia="zh-CN"/>
        </w:rPr>
      </w:pPr>
      <w:r>
        <w:rPr>
          <w:rFonts w:hint="eastAsia" w:ascii="宋体" w:hAnsi="宋体" w:eastAsia="宋体" w:cs="宋体"/>
          <w:sz w:val="24"/>
          <w:szCs w:val="24"/>
          <w:highlight w:val="none"/>
        </w:rPr>
        <w:br w:type="page"/>
      </w:r>
    </w:p>
    <w:p>
      <w:pPr>
        <w:widowControl w:val="0"/>
        <w:wordWrap/>
        <w:spacing w:line="600" w:lineRule="exact"/>
        <w:ind w:left="0"/>
        <w:jc w:val="both"/>
        <w:textAlignment w:val="auto"/>
        <w:outlineLvl w:val="9"/>
        <w:rPr>
          <w:rFonts w:hint="eastAsia" w:ascii="宋体" w:hAnsi="宋体" w:eastAsia="黑体"/>
          <w:sz w:val="32"/>
          <w:szCs w:val="30"/>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八</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1页/共2页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w:t>
      </w:r>
      <w:r>
        <w:rPr>
          <w:rFonts w:hint="eastAsia" w:ascii="方正小标宋简体" w:hAnsi="方正小标宋简体" w:eastAsia="方正小标宋简体" w:cs="方正小标宋简体"/>
          <w:b w:val="0"/>
          <w:bCs/>
          <w:color w:val="000000"/>
          <w:kern w:val="0"/>
          <w:sz w:val="44"/>
          <w:szCs w:val="44"/>
          <w:highlight w:val="none"/>
          <w:lang w:val="en-US" w:eastAsia="zh-CN"/>
        </w:rPr>
        <w:t>21</w:t>
      </w:r>
      <w:r>
        <w:rPr>
          <w:rFonts w:hint="eastAsia" w:ascii="方正小标宋简体" w:hAnsi="方正小标宋简体" w:eastAsia="方正小标宋简体" w:cs="方正小标宋简体"/>
          <w:b w:val="0"/>
          <w:bCs/>
          <w:color w:val="000000"/>
          <w:kern w:val="0"/>
          <w:sz w:val="44"/>
          <w:szCs w:val="44"/>
          <w:highlight w:val="none"/>
        </w:rPr>
        <w:t>年市对镇一般公共预算税收返还</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和转移支付预算表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91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27"/>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2" w:hRule="atLeast"/>
          <w:tblHeader/>
        </w:trPr>
        <w:tc>
          <w:tcPr>
            <w:tcW w:w="2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片区、镇（街道）</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合计</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税收返还</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宋体" w:hAnsi="宋体" w:eastAsia="黑体" w:cs="黑体"/>
                <w:i w:val="0"/>
                <w:color w:val="000000"/>
                <w:kern w:val="0"/>
                <w:sz w:val="24"/>
                <w:szCs w:val="24"/>
                <w:highlight w:val="none"/>
                <w:u w:val="none"/>
                <w:lang w:val="en-US" w:eastAsia="zh-CN"/>
              </w:rPr>
              <w:t>一般性转移</w:t>
            </w:r>
          </w:p>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2" w:hRule="atLeast"/>
        </w:trPr>
        <w:tc>
          <w:tcPr>
            <w:tcW w:w="2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轵城镇</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1239</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lang w:val="en-US"/>
              </w:rPr>
            </w:pPr>
            <w:r>
              <w:rPr>
                <w:rFonts w:hint="eastAsia" w:ascii="宋体" w:hAnsi="宋体" w:cs="宋体"/>
                <w:i w:val="0"/>
                <w:color w:val="000000"/>
                <w:kern w:val="0"/>
                <w:sz w:val="24"/>
                <w:szCs w:val="24"/>
                <w:highlight w:val="none"/>
                <w:u w:val="none"/>
                <w:lang w:val="en-US" w:eastAsia="zh-CN"/>
              </w:rPr>
              <w:t>244</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lang w:val="en-US"/>
              </w:rPr>
            </w:pPr>
            <w:r>
              <w:rPr>
                <w:rFonts w:hint="eastAsia" w:ascii="宋体" w:hAnsi="宋体" w:cs="宋体"/>
                <w:i w:val="0"/>
                <w:color w:val="000000"/>
                <w:kern w:val="0"/>
                <w:sz w:val="24"/>
                <w:szCs w:val="24"/>
                <w:highlight w:val="none"/>
                <w:u w:val="none"/>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2" w:hRule="atLeast"/>
        </w:trPr>
        <w:tc>
          <w:tcPr>
            <w:tcW w:w="2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五龙口镇</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1013</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521</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2" w:hRule="atLeast"/>
        </w:trPr>
        <w:tc>
          <w:tcPr>
            <w:tcW w:w="2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克井镇</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lang w:val="en-US"/>
              </w:rPr>
            </w:pPr>
            <w:r>
              <w:rPr>
                <w:rFonts w:hint="eastAsia" w:ascii="宋体" w:hAnsi="宋体" w:cs="宋体"/>
                <w:i w:val="0"/>
                <w:color w:val="000000"/>
                <w:kern w:val="0"/>
                <w:sz w:val="24"/>
                <w:szCs w:val="24"/>
                <w:highlight w:val="none"/>
                <w:u w:val="none"/>
                <w:lang w:val="en-US" w:eastAsia="zh-CN"/>
              </w:rPr>
              <w:t>3337</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417</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2920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2" w:hRule="atLeast"/>
        </w:trPr>
        <w:tc>
          <w:tcPr>
            <w:tcW w:w="2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承留镇</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233</w:t>
            </w:r>
            <w:r>
              <w:rPr>
                <w:rFonts w:hint="eastAsia" w:ascii="宋体" w:hAnsi="宋体" w:cs="宋体"/>
                <w:i w:val="0"/>
                <w:color w:val="000000"/>
                <w:kern w:val="0"/>
                <w:sz w:val="24"/>
                <w:szCs w:val="24"/>
                <w:highlight w:val="none"/>
                <w:u w:val="none"/>
                <w:lang w:val="en-US" w:eastAsia="zh-CN"/>
              </w:rPr>
              <w:t>6</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lang w:val="en-US"/>
              </w:rPr>
            </w:pPr>
            <w:r>
              <w:rPr>
                <w:rFonts w:hint="eastAsia" w:ascii="宋体" w:hAnsi="宋体" w:cs="宋体"/>
                <w:i w:val="0"/>
                <w:color w:val="000000"/>
                <w:kern w:val="0"/>
                <w:sz w:val="24"/>
                <w:szCs w:val="24"/>
                <w:highlight w:val="none"/>
                <w:u w:val="none"/>
                <w:lang w:val="en-US" w:eastAsia="zh-CN"/>
              </w:rPr>
              <w:t>270</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lang w:val="en-US"/>
              </w:rPr>
            </w:pPr>
            <w:r>
              <w:rPr>
                <w:rFonts w:hint="eastAsia" w:ascii="宋体" w:hAnsi="宋体" w:cs="宋体"/>
                <w:i w:val="0"/>
                <w:color w:val="000000"/>
                <w:kern w:val="0"/>
                <w:sz w:val="24"/>
                <w:szCs w:val="24"/>
                <w:highlight w:val="none"/>
                <w:u w:val="none"/>
                <w:lang w:val="en-US" w:eastAsia="zh-CN"/>
              </w:rPr>
              <w:t>2066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2" w:hRule="atLeast"/>
        </w:trPr>
        <w:tc>
          <w:tcPr>
            <w:tcW w:w="2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坡头镇</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1539</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426</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1113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2" w:hRule="atLeast"/>
        </w:trPr>
        <w:tc>
          <w:tcPr>
            <w:tcW w:w="2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邵原镇</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2145</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335</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1810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2" w:hRule="atLeast"/>
        </w:trPr>
        <w:tc>
          <w:tcPr>
            <w:tcW w:w="2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梨林镇</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1572</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304</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1268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2" w:hRule="atLeast"/>
        </w:trPr>
        <w:tc>
          <w:tcPr>
            <w:tcW w:w="2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思礼镇</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lang w:val="en-US"/>
              </w:rPr>
            </w:pPr>
            <w:r>
              <w:rPr>
                <w:rFonts w:hint="eastAsia" w:ascii="宋体" w:hAnsi="宋体" w:cs="宋体"/>
                <w:i w:val="0"/>
                <w:color w:val="000000"/>
                <w:kern w:val="0"/>
                <w:sz w:val="24"/>
                <w:szCs w:val="24"/>
                <w:highlight w:val="none"/>
                <w:u w:val="none"/>
                <w:lang w:val="en-US" w:eastAsia="zh-CN"/>
              </w:rPr>
              <w:t>-327</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cs="宋体"/>
                <w:i w:val="0"/>
                <w:color w:val="000000"/>
                <w:sz w:val="24"/>
                <w:szCs w:val="24"/>
                <w:highlight w:val="none"/>
                <w:u w:val="none"/>
                <w:lang w:val="en-US" w:eastAsia="zh-CN"/>
              </w:rPr>
              <w:t>90</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lang w:val="en-US"/>
              </w:rPr>
            </w:pPr>
            <w:r>
              <w:rPr>
                <w:rFonts w:hint="eastAsia" w:ascii="宋体" w:hAnsi="宋体" w:cs="宋体"/>
                <w:i w:val="0"/>
                <w:color w:val="000000"/>
                <w:kern w:val="0"/>
                <w:sz w:val="24"/>
                <w:szCs w:val="24"/>
                <w:highlight w:val="none"/>
                <w:u w:val="none"/>
                <w:lang w:val="en-US" w:eastAsia="zh-CN"/>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2" w:hRule="atLeast"/>
        </w:trPr>
        <w:tc>
          <w:tcPr>
            <w:tcW w:w="2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大峪镇</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1876</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241</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1635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2" w:hRule="atLeast"/>
        </w:trPr>
        <w:tc>
          <w:tcPr>
            <w:tcW w:w="2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下冶镇</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2000</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115</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1885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2" w:hRule="atLeast"/>
        </w:trPr>
        <w:tc>
          <w:tcPr>
            <w:tcW w:w="2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王屋镇</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1782</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375</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1407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2" w:hRule="atLeast"/>
        </w:trPr>
        <w:tc>
          <w:tcPr>
            <w:tcW w:w="2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济水街道</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2652</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1985</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2" w:hRule="atLeast"/>
        </w:trPr>
        <w:tc>
          <w:tcPr>
            <w:tcW w:w="23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沁园街道</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4026</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3211</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815</w:t>
            </w:r>
          </w:p>
        </w:tc>
      </w:tr>
    </w:tbl>
    <w:p>
      <w:pPr>
        <w:widowControl w:val="0"/>
        <w:wordWrap/>
        <w:spacing w:line="600" w:lineRule="exact"/>
        <w:ind w:left="0"/>
        <w:jc w:val="both"/>
        <w:textAlignment w:val="auto"/>
        <w:outlineLvl w:val="9"/>
        <w:rPr>
          <w:rFonts w:hint="eastAsia" w:ascii="宋体" w:hAnsi="宋体" w:eastAsia="黑体" w:cs="黑体"/>
          <w:sz w:val="28"/>
          <w:szCs w:val="28"/>
          <w:highlight w:val="none"/>
        </w:rPr>
      </w:pPr>
    </w:p>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八</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2页/共2页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年市对镇一般公共预算税收返还</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和转移支付预算表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91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05"/>
        <w:gridCol w:w="2310"/>
        <w:gridCol w:w="2295"/>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blHeader/>
        </w:trPr>
        <w:tc>
          <w:tcPr>
            <w:tcW w:w="2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片区、镇（街道）</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合计</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税收返还</w:t>
            </w: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宋体" w:hAnsi="宋体" w:eastAsia="黑体" w:cs="黑体"/>
                <w:i w:val="0"/>
                <w:color w:val="000000"/>
                <w:kern w:val="0"/>
                <w:sz w:val="24"/>
                <w:szCs w:val="24"/>
                <w:highlight w:val="none"/>
                <w:u w:val="none"/>
                <w:lang w:val="en-US" w:eastAsia="zh-CN"/>
              </w:rPr>
              <w:t>一般性转移</w:t>
            </w:r>
          </w:p>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北海街道</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1431</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1007</w:t>
            </w: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天坛街道</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2629</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239</w:t>
            </w: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2390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玉泉街道</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738</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419</w:t>
            </w: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虎岭高新片区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47</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190</w:t>
            </w: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cs="宋体"/>
                <w:i w:val="0"/>
                <w:color w:val="000000"/>
                <w:kern w:val="0"/>
                <w:sz w:val="24"/>
                <w:szCs w:val="24"/>
                <w:highlight w:val="none"/>
                <w:u w:val="none"/>
                <w:lang w:val="en-US" w:eastAsia="zh-CN"/>
              </w:rPr>
              <w:t>-</w:t>
            </w:r>
            <w:r>
              <w:rPr>
                <w:rFonts w:hint="eastAsia" w:ascii="宋体" w:hAnsi="宋体" w:eastAsia="宋体" w:cs="宋体"/>
                <w:i w:val="0"/>
                <w:color w:val="000000"/>
                <w:kern w:val="0"/>
                <w:sz w:val="24"/>
                <w:szCs w:val="24"/>
                <w:highlight w:val="none"/>
                <w:u w:val="none"/>
                <w:lang w:val="en-US" w:eastAsia="zh-CN"/>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玉川片区</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74</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227</w:t>
            </w: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cs="宋体"/>
                <w:i w:val="0"/>
                <w:color w:val="000000"/>
                <w:kern w:val="0"/>
                <w:sz w:val="24"/>
                <w:szCs w:val="24"/>
                <w:highlight w:val="none"/>
                <w:u w:val="none"/>
                <w:lang w:val="en-US" w:eastAsia="zh-CN"/>
              </w:rPr>
              <w:t>-</w:t>
            </w:r>
            <w:r>
              <w:rPr>
                <w:rFonts w:hint="eastAsia" w:ascii="宋体" w:hAnsi="宋体" w:eastAsia="宋体" w:cs="宋体"/>
                <w:i w:val="0"/>
                <w:color w:val="000000"/>
                <w:kern w:val="0"/>
                <w:sz w:val="24"/>
                <w:szCs w:val="24"/>
                <w:highlight w:val="none"/>
                <w:u w:val="none"/>
                <w:lang w:val="en-US" w:eastAsia="zh-CN"/>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7" w:hRule="atLeast"/>
        </w:trPr>
        <w:tc>
          <w:tcPr>
            <w:tcW w:w="2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合  计</w:t>
            </w:r>
          </w:p>
        </w:tc>
        <w:tc>
          <w:tcPr>
            <w:tcW w:w="23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28876</w:t>
            </w:r>
          </w:p>
        </w:tc>
        <w:tc>
          <w:tcPr>
            <w:tcW w:w="22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lang w:val="en-US"/>
              </w:rPr>
            </w:pPr>
            <w:r>
              <w:rPr>
                <w:rFonts w:hint="eastAsia" w:ascii="宋体" w:hAnsi="宋体" w:cs="宋体"/>
                <w:i w:val="0"/>
                <w:color w:val="000000"/>
                <w:kern w:val="0"/>
                <w:sz w:val="24"/>
                <w:szCs w:val="24"/>
                <w:highlight w:val="none"/>
                <w:u w:val="none"/>
                <w:lang w:val="en-US" w:eastAsia="zh-CN"/>
              </w:rPr>
              <w:t>7433</w:t>
            </w:r>
          </w:p>
        </w:tc>
        <w:tc>
          <w:tcPr>
            <w:tcW w:w="2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21443</w:t>
            </w:r>
          </w:p>
        </w:tc>
      </w:tr>
    </w:tbl>
    <w:p>
      <w:pPr>
        <w:spacing w:line="600" w:lineRule="exact"/>
        <w:jc w:val="left"/>
        <w:textAlignment w:val="center"/>
        <w:rPr>
          <w:rFonts w:hint="eastAsia" w:ascii="宋体" w:hAnsi="宋体" w:eastAsia="黑体"/>
          <w:sz w:val="32"/>
          <w:szCs w:val="30"/>
          <w:highlight w:val="none"/>
          <w:lang w:eastAsia="zh-CN"/>
        </w:rPr>
      </w:pPr>
      <w:r>
        <w:rPr>
          <w:rFonts w:hint="eastAsia" w:ascii="宋体" w:hAnsi="宋体"/>
          <w:color w:val="000000"/>
          <w:kern w:val="0"/>
          <w:sz w:val="24"/>
        </w:rPr>
        <w:t>备注：</w:t>
      </w:r>
      <w:r>
        <w:rPr>
          <w:rFonts w:hint="eastAsia" w:ascii="宋体" w:hAnsi="宋体"/>
          <w:color w:val="000000"/>
          <w:kern w:val="0"/>
          <w:sz w:val="24"/>
          <w:lang w:eastAsia="zh-CN"/>
        </w:rPr>
        <w:t>按照</w:t>
      </w:r>
      <w:r>
        <w:rPr>
          <w:rFonts w:hint="eastAsia" w:ascii="宋体" w:hAnsi="宋体"/>
          <w:color w:val="000000"/>
          <w:kern w:val="0"/>
          <w:sz w:val="24"/>
        </w:rPr>
        <w:t>营改增</w:t>
      </w:r>
      <w:r>
        <w:rPr>
          <w:rFonts w:hint="eastAsia" w:ascii="宋体" w:hAnsi="宋体"/>
          <w:color w:val="000000"/>
          <w:kern w:val="0"/>
          <w:sz w:val="24"/>
          <w:lang w:eastAsia="zh-CN"/>
        </w:rPr>
        <w:t>规定</w:t>
      </w:r>
      <w:r>
        <w:rPr>
          <w:rFonts w:hint="eastAsia" w:ascii="宋体" w:hAnsi="宋体"/>
          <w:color w:val="000000"/>
          <w:kern w:val="0"/>
          <w:sz w:val="24"/>
        </w:rPr>
        <w:t>省财政核定</w:t>
      </w:r>
      <w:r>
        <w:rPr>
          <w:rFonts w:hint="eastAsia" w:ascii="宋体" w:hAnsi="宋体"/>
          <w:color w:val="000000"/>
          <w:kern w:val="0"/>
          <w:sz w:val="24"/>
          <w:lang w:eastAsia="zh-CN"/>
        </w:rPr>
        <w:t>部分镇</w:t>
      </w:r>
      <w:r>
        <w:rPr>
          <w:rFonts w:hint="eastAsia" w:ascii="宋体" w:hAnsi="宋体"/>
          <w:color w:val="000000"/>
          <w:kern w:val="0"/>
          <w:sz w:val="24"/>
        </w:rPr>
        <w:t>增值税“五五分享”</w:t>
      </w:r>
      <w:r>
        <w:rPr>
          <w:rFonts w:hint="eastAsia" w:ascii="宋体" w:hAnsi="宋体"/>
          <w:color w:val="000000"/>
          <w:kern w:val="0"/>
          <w:sz w:val="24"/>
          <w:lang w:eastAsia="zh-CN"/>
        </w:rPr>
        <w:t>补助</w:t>
      </w:r>
      <w:r>
        <w:rPr>
          <w:rFonts w:hint="eastAsia" w:ascii="宋体" w:hAnsi="宋体"/>
          <w:color w:val="000000"/>
          <w:kern w:val="0"/>
          <w:sz w:val="24"/>
        </w:rPr>
        <w:t>收入为负数。片区区划调整</w:t>
      </w:r>
      <w:r>
        <w:rPr>
          <w:rFonts w:hint="eastAsia" w:ascii="宋体" w:hAnsi="宋体"/>
          <w:color w:val="000000"/>
          <w:kern w:val="0"/>
          <w:sz w:val="24"/>
          <w:lang w:eastAsia="zh-CN"/>
        </w:rPr>
        <w:t>时因</w:t>
      </w:r>
      <w:r>
        <w:rPr>
          <w:rFonts w:hint="eastAsia" w:ascii="宋体" w:hAnsi="宋体"/>
          <w:color w:val="000000"/>
          <w:kern w:val="0"/>
          <w:sz w:val="24"/>
        </w:rPr>
        <w:t>企业划转</w:t>
      </w:r>
      <w:r>
        <w:rPr>
          <w:rFonts w:hint="eastAsia" w:ascii="宋体" w:hAnsi="宋体"/>
          <w:color w:val="000000"/>
          <w:kern w:val="0"/>
          <w:sz w:val="24"/>
          <w:lang w:eastAsia="zh-CN"/>
        </w:rPr>
        <w:t>核定</w:t>
      </w:r>
      <w:r>
        <w:rPr>
          <w:rFonts w:hint="eastAsia" w:ascii="宋体" w:hAnsi="宋体"/>
          <w:color w:val="000000"/>
          <w:kern w:val="0"/>
          <w:sz w:val="24"/>
        </w:rPr>
        <w:t>一般转移支付补助为负数。</w:t>
      </w:r>
      <w:r>
        <w:rPr>
          <w:rFonts w:hint="eastAsia" w:ascii="宋体" w:hAnsi="宋体" w:eastAsia="仿宋_GB2312"/>
          <w:sz w:val="32"/>
          <w:szCs w:val="30"/>
          <w:highlight w:val="none"/>
          <w:lang w:val="en-US" w:eastAsia="zh-CN"/>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九</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1页/共3页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年省提前通知转移支付明细表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50"/>
        <w:gridCol w:w="3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blHead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中央、省对我市转移支付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合   计</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u w:val="none"/>
                <w:lang w:val="en-US" w:eastAsia="zh-CN" w:bidi="ar"/>
              </w:rPr>
              <w:t>162236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5150" w:type="dxa"/>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税收返还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5150" w:type="dxa"/>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增值税返还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8494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1"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所得税基数返还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成品油税费改革税收返还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增值税"五五分享"税收返还收入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-9096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消费税税收返还收入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一般性转移支付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130985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均衡性转移支付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25138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县级基本财力保障机制奖补资金收入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重点生态功能区转移支付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固定数额补助</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9762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贫困地区转移支付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结算补助收入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7591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其他一般性转移支付收入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385</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九</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2页/共3页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年省提前通知转移支付明细表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513"/>
        <w:gridCol w:w="3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blHeader/>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中央、省对我市转移支付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公共安全共同财政事权转移支付收入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医疗卫生共同财政事权转移支付</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22729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社会保障和就业共同财政事权转移支付收入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25319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交通运输共同财政事权转移支付收入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节能环保共同财政事权转移支付收入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农林水共同财政事权转移支付收入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14484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文化旅游体育与传媒共同财政事权转移支付收入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住房保障共同财政事权转移支付收入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教育共同财政事权转移支付收入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专项转移支付</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22984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一般公共服务类</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审计事业发展</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市场监督管理</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教育发展类</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职业教育发展</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u w:val="none"/>
                <w:lang w:val="en-US" w:eastAsia="zh-CN" w:bidi="ar"/>
              </w:rPr>
              <w:t>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  科学技术支出</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730</w:t>
            </w:r>
          </w:p>
        </w:tc>
      </w:tr>
    </w:tbl>
    <w:p>
      <w:pPr>
        <w:widowControl w:val="0"/>
        <w:wordWrap/>
        <w:spacing w:line="600" w:lineRule="exact"/>
        <w:ind w:left="0"/>
        <w:jc w:val="both"/>
        <w:textAlignment w:val="auto"/>
        <w:outlineLvl w:val="9"/>
        <w:rPr>
          <w:rFonts w:hint="eastAsia" w:ascii="宋体" w:hAnsi="宋体" w:eastAsia="黑体" w:cs="黑体"/>
          <w:sz w:val="28"/>
          <w:szCs w:val="28"/>
          <w:highlight w:val="none"/>
        </w:rPr>
      </w:pPr>
    </w:p>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九</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3页/共3页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年省提前通知转移支付明细表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50"/>
        <w:gridCol w:w="3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blHead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中央、省对我市转移支付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科技研究与应用</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卫生健康支出</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节能环保类</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8301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污染防治</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8301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农林水发展类</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农村综合改革</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普惠金融发展</w:t>
            </w:r>
          </w:p>
        </w:tc>
        <w:tc>
          <w:tcPr>
            <w:tcW w:w="36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    水利发展资金</w:t>
            </w:r>
          </w:p>
        </w:tc>
        <w:tc>
          <w:tcPr>
            <w:tcW w:w="36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  交通运输支出类</w:t>
            </w:r>
          </w:p>
        </w:tc>
        <w:tc>
          <w:tcPr>
            <w:tcW w:w="36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6722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    公路养护</w:t>
            </w:r>
          </w:p>
        </w:tc>
        <w:tc>
          <w:tcPr>
            <w:tcW w:w="36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4417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    航道维护</w:t>
            </w:r>
          </w:p>
        </w:tc>
        <w:tc>
          <w:tcPr>
            <w:tcW w:w="36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    航道维护</w:t>
            </w:r>
          </w:p>
        </w:tc>
        <w:tc>
          <w:tcPr>
            <w:tcW w:w="36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  商业服务业类</w:t>
            </w:r>
          </w:p>
        </w:tc>
        <w:tc>
          <w:tcPr>
            <w:tcW w:w="36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    涉外发展资金</w:t>
            </w:r>
          </w:p>
        </w:tc>
        <w:tc>
          <w:tcPr>
            <w:tcW w:w="36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  自然资源海洋气象等支出</w:t>
            </w:r>
          </w:p>
        </w:tc>
        <w:tc>
          <w:tcPr>
            <w:tcW w:w="36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    自然资源利用与保护</w:t>
            </w:r>
          </w:p>
        </w:tc>
        <w:tc>
          <w:tcPr>
            <w:tcW w:w="369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2445</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仿宋_GB2312"/>
          <w:sz w:val="32"/>
          <w:szCs w:val="30"/>
          <w:highlight w:val="none"/>
          <w:lang w:val="en-US" w:eastAsia="zh-CN"/>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1页/共4页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年市级基本建设支出预算表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48"/>
        <w:gridCol w:w="2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blHeader/>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2021年预算数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合   计</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55883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一、一般公共服务支出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济源海关综合业务技术用房项目费用</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二、教育支出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1286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农村校舍维修资金</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647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东湖小学工程建设资金</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农村中小学教师周转房建设</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济源一中训练馆项目建设</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沁园中学运动场及厕所改造</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三、城乡社区支出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23706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增减挂钩拆旧复垦及指标使用费支出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土地开发支出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耕地提质改造补助项目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大峪寺郎腰土地综合整治项目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下冶韩旺等16村土地综合整治项目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800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2页/共4页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年市级基本建设支出预算表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48"/>
        <w:gridCol w:w="2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blHeader/>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2021年预算数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default"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u w:val="none"/>
                <w:lang w:val="en-US" w:eastAsia="zh-CN" w:bidi="ar"/>
              </w:rPr>
              <w:t>农村房屋不动产登记项目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604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城市道路维修资金</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保障性安居工程建设资金</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7552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兴合苑装修及防水改造工程</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生活垃圾焚烧发电厂项目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财源路改造资金</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世纪广场亮化</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公厕、中转站项目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城市供热作业经费</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2450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时代广场前地下通道</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2018年以前年度政府投资项目工程余款</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玉川街东延</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路灯维修费</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四、农林水支出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8151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农村饮水工程维护</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物资仓库建设</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68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3页/共4页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年市级基本建设支出预算表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48"/>
        <w:gridCol w:w="2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blHeader/>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2021年预算数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和平淤地坝工程</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王屋山国家地质公园小沟背景区古火山地质遗迹保护与监测设施建设项目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黄河流域生态保护和高质量发展资金</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7735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五、文化旅游与传媒支出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611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柴庄延庆寺塔安防工程</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新闻传媒中心建设资金</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421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六、卫生健康支出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3500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P2实验室建设及检验检测能力提升</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区域诊疗中心建设</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公共卫生医学中心建设</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乡镇卫生院建设</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传染病医院建设</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七、节能环保支出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节能环保项目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沁北-市区供热管线项目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exac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城市既有建筑节能改造、农村农房节能改造、装配式建筑、低能耗农房、超低能耗建筑等项目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5620 </w:t>
            </w:r>
          </w:p>
        </w:tc>
      </w:tr>
    </w:tbl>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4页/共4页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年市级基本建设支出预算表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48"/>
        <w:gridCol w:w="2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blHeader/>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2021年预算数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老旧小区供热改造、富士花园、丹桂园、三湖嘉园及67座交换站改造项目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八、自然资源等支出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2445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下冶煤铝土开采区矿山地质环境治理项目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沿黄生态涵养带项目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910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黄河湿地保护项目</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1404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九、住房保障支出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2726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城镇老旧小区改造</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2506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农房抗震改造</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十、交通运输支出</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3305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小浪底库区港航建设</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小浪底库区航道养护</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305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6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市级还贷专项资金（二级公路）</w:t>
            </w:r>
          </w:p>
        </w:tc>
        <w:tc>
          <w:tcPr>
            <w:tcW w:w="2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1000 </w:t>
            </w:r>
          </w:p>
        </w:tc>
      </w:tr>
    </w:tbl>
    <w:p>
      <w:pPr>
        <w:widowControl w:val="0"/>
        <w:wordWrap/>
        <w:spacing w:line="600" w:lineRule="exact"/>
        <w:ind w:left="0"/>
        <w:jc w:val="both"/>
        <w:textAlignment w:val="auto"/>
        <w:outlineLvl w:val="9"/>
        <w:rPr>
          <w:rFonts w:hint="eastAsia" w:ascii="宋体" w:hAnsi="宋体" w:eastAsia="黑体" w:cs="黑体"/>
          <w:sz w:val="28"/>
          <w:szCs w:val="28"/>
          <w:highlight w:val="none"/>
        </w:rPr>
      </w:pPr>
    </w:p>
    <w:p>
      <w:pPr>
        <w:pStyle w:val="12"/>
        <w:rPr>
          <w:rFonts w:hint="eastAsia" w:ascii="宋体" w:hAnsi="宋体" w:eastAsia="黑体" w:cs="黑体"/>
          <w:sz w:val="28"/>
          <w:szCs w:val="28"/>
          <w:highlight w:val="none"/>
        </w:rPr>
      </w:pPr>
    </w:p>
    <w:p>
      <w:pPr>
        <w:pStyle w:val="12"/>
        <w:rPr>
          <w:rFonts w:hint="eastAsia" w:ascii="宋体" w:hAnsi="宋体" w:eastAsia="黑体" w:cs="黑体"/>
          <w:sz w:val="28"/>
          <w:szCs w:val="28"/>
          <w:highlight w:val="none"/>
        </w:rPr>
      </w:pPr>
    </w:p>
    <w:p>
      <w:pPr>
        <w:widowControl w:val="0"/>
        <w:wordWrap/>
        <w:spacing w:line="600" w:lineRule="exact"/>
        <w:ind w:left="0"/>
        <w:jc w:val="both"/>
        <w:textAlignment w:val="auto"/>
        <w:outlineLvl w:val="9"/>
        <w:rPr>
          <w:rFonts w:hint="eastAsia" w:ascii="宋体" w:hAnsi="宋体" w:eastAsia="黑体" w:cs="黑体"/>
          <w:sz w:val="28"/>
          <w:szCs w:val="28"/>
          <w:highlight w:val="none"/>
        </w:rPr>
      </w:pPr>
    </w:p>
    <w:p>
      <w:pPr>
        <w:widowControl w:val="0"/>
        <w:wordWrap/>
        <w:spacing w:line="600" w:lineRule="exact"/>
        <w:ind w:left="0"/>
        <w:jc w:val="both"/>
        <w:textAlignment w:val="auto"/>
        <w:outlineLvl w:val="9"/>
        <w:rPr>
          <w:rFonts w:hint="eastAsia" w:ascii="宋体" w:hAnsi="宋体" w:eastAsia="黑体"/>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十一</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1页/共1页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w:t>
      </w:r>
      <w:r>
        <w:rPr>
          <w:rFonts w:hint="eastAsia" w:ascii="方正小标宋简体" w:hAnsi="方正小标宋简体" w:eastAsia="方正小标宋简体" w:cs="方正小标宋简体"/>
          <w:b w:val="0"/>
          <w:bCs/>
          <w:color w:val="000000"/>
          <w:kern w:val="0"/>
          <w:sz w:val="44"/>
          <w:szCs w:val="44"/>
          <w:highlight w:val="none"/>
          <w:lang w:val="en-US" w:eastAsia="zh-CN"/>
        </w:rPr>
        <w:t>20</w:t>
      </w:r>
      <w:r>
        <w:rPr>
          <w:rFonts w:hint="eastAsia" w:ascii="方正小标宋简体" w:hAnsi="方正小标宋简体" w:eastAsia="方正小标宋简体" w:cs="方正小标宋简体"/>
          <w:b w:val="0"/>
          <w:bCs/>
          <w:color w:val="000000"/>
          <w:kern w:val="0"/>
          <w:sz w:val="44"/>
          <w:szCs w:val="44"/>
          <w:highlight w:val="none"/>
        </w:rPr>
        <w:t>年和202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年政府一般债务余额情况表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18"/>
        <w:gridCol w:w="1889"/>
        <w:gridCol w:w="1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预算数</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2019年末政府一般债务余额实际数</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636014 </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636014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2020年末政府一般债务余额限额</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789846 </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789846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2020年政府一般债券发行额</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102074 </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102074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2020年政府一般债券还本额</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86577 </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86577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2020年末政府一般债务余额预计执行数</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651511 </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651511 </w:t>
            </w:r>
          </w:p>
        </w:tc>
      </w:tr>
    </w:tbl>
    <w:p>
      <w:pPr>
        <w:numPr>
          <w:ilvl w:val="0"/>
          <w:numId w:val="0"/>
        </w:numPr>
        <w:jc w:val="both"/>
        <w:rPr>
          <w:rFonts w:hint="eastAsia" w:ascii="宋体" w:hAnsi="宋体" w:eastAsia="仿宋" w:cs="仿宋"/>
          <w:b/>
          <w:bCs/>
          <w:color w:val="231916"/>
          <w:sz w:val="32"/>
          <w:szCs w:val="32"/>
          <w:highlight w:val="none"/>
          <w:lang w:val="en-US" w:eastAsia="zh-CN"/>
        </w:rPr>
      </w:pPr>
    </w:p>
    <w:p>
      <w:pPr>
        <w:rPr>
          <w:rFonts w:hint="eastAsia" w:ascii="宋体" w:hAnsi="宋体" w:eastAsia="黑体" w:cs="黑体"/>
          <w:sz w:val="32"/>
          <w:szCs w:val="30"/>
          <w:highlight w:val="none"/>
        </w:rPr>
      </w:pPr>
    </w:p>
    <w:p>
      <w:pPr>
        <w:rPr>
          <w:rFonts w:hint="eastAsia" w:ascii="宋体" w:hAnsi="宋体" w:eastAsia="黑体" w:cs="黑体"/>
          <w:sz w:val="32"/>
          <w:szCs w:val="30"/>
          <w:highlight w:val="none"/>
        </w:rPr>
      </w:pPr>
    </w:p>
    <w:p>
      <w:pPr>
        <w:pStyle w:val="2"/>
        <w:rPr>
          <w:rFonts w:hint="eastAsia"/>
          <w:highlight w:val="none"/>
        </w:rPr>
      </w:pPr>
    </w:p>
    <w:p>
      <w:pPr>
        <w:rPr>
          <w:rFonts w:hint="eastAsia" w:ascii="宋体" w:hAnsi="宋体" w:eastAsia="黑体" w:cs="黑体"/>
          <w:sz w:val="32"/>
          <w:szCs w:val="30"/>
          <w:highlight w:val="none"/>
        </w:rPr>
      </w:pPr>
    </w:p>
    <w:p>
      <w:pPr>
        <w:pStyle w:val="2"/>
        <w:rPr>
          <w:rFonts w:hint="eastAsia" w:ascii="宋体" w:hAnsi="宋体" w:eastAsia="黑体" w:cs="黑体"/>
          <w:sz w:val="32"/>
          <w:szCs w:val="30"/>
          <w:highlight w:val="none"/>
        </w:rPr>
      </w:pPr>
    </w:p>
    <w:p>
      <w:pPr>
        <w:rPr>
          <w:rFonts w:hint="eastAsia" w:ascii="宋体" w:hAnsi="宋体" w:eastAsia="黑体" w:cs="黑体"/>
          <w:sz w:val="32"/>
          <w:szCs w:val="30"/>
          <w:highlight w:val="none"/>
        </w:rPr>
      </w:pPr>
    </w:p>
    <w:p>
      <w:pPr>
        <w:pStyle w:val="2"/>
        <w:rPr>
          <w:rFonts w:hint="eastAsia" w:ascii="宋体" w:hAnsi="宋体" w:eastAsia="黑体" w:cs="黑体"/>
          <w:sz w:val="32"/>
          <w:szCs w:val="30"/>
          <w:highlight w:val="none"/>
        </w:rPr>
      </w:pPr>
    </w:p>
    <w:p>
      <w:pPr>
        <w:rPr>
          <w:rFonts w:hint="eastAsia"/>
          <w:highlight w:val="none"/>
        </w:rPr>
      </w:pPr>
    </w:p>
    <w:p>
      <w:pPr>
        <w:widowControl w:val="0"/>
        <w:wordWrap/>
        <w:spacing w:line="600" w:lineRule="exact"/>
        <w:ind w:left="0"/>
        <w:jc w:val="both"/>
        <w:textAlignment w:val="auto"/>
        <w:outlineLvl w:val="9"/>
        <w:rPr>
          <w:rFonts w:hint="eastAsia" w:ascii="宋体" w:hAnsi="宋体" w:eastAsia="黑体" w:cs="黑体"/>
          <w:sz w:val="28"/>
          <w:szCs w:val="28"/>
          <w:highlight w:val="none"/>
          <w:lang w:val="en-US" w:eastAsia="zh-CN"/>
        </w:rPr>
      </w:pPr>
    </w:p>
    <w:p>
      <w:pPr>
        <w:rPr>
          <w:rFonts w:hint="eastAsia" w:ascii="宋体" w:hAnsi="宋体" w:eastAsia="仿宋_GB2312"/>
          <w:sz w:val="28"/>
          <w:szCs w:val="28"/>
          <w:highlight w:val="none"/>
          <w:lang w:eastAsia="zh-CN"/>
        </w:rPr>
      </w:pPr>
      <w:r>
        <w:rPr>
          <w:rFonts w:hint="eastAsia" w:ascii="宋体" w:hAnsi="宋体" w:eastAsia="黑体" w:cs="黑体"/>
          <w:sz w:val="32"/>
          <w:szCs w:val="30"/>
          <w:highlight w:val="none"/>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十二</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1页/共2页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年全市政府性基金预算收支表</w:t>
      </w:r>
    </w:p>
    <w:p>
      <w:pPr>
        <w:widowControl w:val="0"/>
        <w:wordWrap/>
        <w:overflowPunct w:val="0"/>
        <w:autoSpaceDE w:val="0"/>
        <w:autoSpaceDN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87"/>
        <w:gridCol w:w="1490"/>
        <w:gridCol w:w="2967"/>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blHead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宋体" w:hAnsi="宋体" w:eastAsia="黑体" w:cs="黑体"/>
                <w:i w:val="0"/>
                <w:color w:val="000000"/>
                <w:kern w:val="0"/>
                <w:sz w:val="24"/>
                <w:szCs w:val="24"/>
                <w:highlight w:val="none"/>
                <w:u w:val="none"/>
                <w:lang w:val="en-US" w:eastAsia="zh-CN"/>
              </w:rPr>
              <w:t>收入</w:t>
            </w:r>
          </w:p>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预算数</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宋体" w:hAnsi="宋体" w:eastAsia="黑体" w:cs="黑体"/>
                <w:i w:val="0"/>
                <w:color w:val="000000"/>
                <w:kern w:val="0"/>
                <w:sz w:val="24"/>
                <w:szCs w:val="24"/>
                <w:highlight w:val="none"/>
                <w:u w:val="none"/>
                <w:lang w:val="en-US" w:eastAsia="zh-CN"/>
              </w:rPr>
              <w:t>支出</w:t>
            </w:r>
          </w:p>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一、政府性基金收入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178023</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一、社会保障和就业支出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国有土地收益基金收入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3670</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大中型水库移民后期扶持基金支出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农业土地开发资金收入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1220</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二、城乡社区支出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152810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国有土地使用权出让收入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160077</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国有土地使用权出让收入安排的支出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134920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城市基础设施配套费收入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9000</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国有土地收益基金安排的支出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3670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污水处理费收入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4056</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农业土地开发资金安排的支出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二、专项债券对应项目专项收入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3944</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城市基础设施配套费安排的支出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其他政府性基金专项债务对应项目专项收入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3944</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污水处理费安排的支出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三、农林水支出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大中型水库库区基金安排的支出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四、其他支出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彩票发行销售机构业务费安排的支出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彩票公益金安排的支出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五、债务付息支出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8862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sz w:val="24"/>
                <w:szCs w:val="24"/>
                <w:highlight w:val="none"/>
                <w:u w:val="none"/>
              </w:rPr>
            </w:pP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地方政府专项债务付息支出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8862</w:t>
            </w:r>
          </w:p>
        </w:tc>
      </w:tr>
    </w:tbl>
    <w:p>
      <w:pPr>
        <w:widowControl w:val="0"/>
        <w:wordWrap/>
        <w:spacing w:line="600" w:lineRule="exact"/>
        <w:ind w:left="0"/>
        <w:jc w:val="both"/>
        <w:textAlignment w:val="auto"/>
        <w:outlineLvl w:val="9"/>
        <w:rPr>
          <w:rFonts w:hint="eastAsia" w:ascii="宋体" w:hAnsi="宋体" w:eastAsia="仿宋_GB2312"/>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十二</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2页/共2页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年全市政府性基金预算收支表</w:t>
      </w:r>
    </w:p>
    <w:p>
      <w:pPr>
        <w:widowControl w:val="0"/>
        <w:wordWrap/>
        <w:overflowPunct w:val="0"/>
        <w:autoSpaceDE w:val="0"/>
        <w:autoSpaceDN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87"/>
        <w:gridCol w:w="1490"/>
        <w:gridCol w:w="2770"/>
        <w:gridCol w:w="1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blHead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宋体" w:hAnsi="宋体" w:eastAsia="黑体" w:cs="黑体"/>
                <w:i w:val="0"/>
                <w:color w:val="000000"/>
                <w:kern w:val="0"/>
                <w:sz w:val="24"/>
                <w:szCs w:val="24"/>
                <w:highlight w:val="none"/>
                <w:u w:val="none"/>
                <w:lang w:val="en-US" w:eastAsia="zh-CN"/>
              </w:rPr>
              <w:t>收入</w:t>
            </w:r>
          </w:p>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预算数</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宋体" w:hAnsi="宋体" w:eastAsia="黑体" w:cs="黑体"/>
                <w:i w:val="0"/>
                <w:color w:val="000000"/>
                <w:kern w:val="0"/>
                <w:sz w:val="24"/>
                <w:szCs w:val="24"/>
                <w:highlight w:val="none"/>
                <w:u w:val="none"/>
                <w:lang w:val="en-US" w:eastAsia="zh-CN"/>
              </w:rPr>
              <w:t>支出</w:t>
            </w:r>
          </w:p>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本年收入合计</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181967</w:t>
            </w: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本年支出合计</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164558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上级补助收入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5733</w:t>
            </w: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债务还本支出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27469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上年结转结余收入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4327</w:t>
            </w: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上解支出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收入总计</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192027</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支出总计</w:t>
            </w:r>
          </w:p>
        </w:tc>
        <w:tc>
          <w:tcPr>
            <w:tcW w:w="149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192027</w:t>
            </w:r>
          </w:p>
        </w:tc>
      </w:tr>
    </w:tbl>
    <w:p>
      <w:pPr>
        <w:widowControl w:val="0"/>
        <w:wordWrap/>
        <w:adjustRightInd w:val="0"/>
        <w:snapToGrid w:val="0"/>
        <w:spacing w:line="720" w:lineRule="exact"/>
        <w:ind w:left="0" w:leftChars="0"/>
        <w:jc w:val="both"/>
        <w:textAlignment w:val="auto"/>
        <w:outlineLvl w:val="9"/>
        <w:rPr>
          <w:rFonts w:hint="eastAsia" w:ascii="宋体" w:hAnsi="宋体" w:eastAsia="方正小标宋简体" w:cs="方正小标宋简体"/>
          <w:b w:val="0"/>
          <w:bCs/>
          <w:color w:val="000000"/>
          <w:kern w:val="0"/>
          <w:sz w:val="44"/>
          <w:szCs w:val="44"/>
          <w:highlight w:val="none"/>
        </w:rPr>
      </w:pPr>
    </w:p>
    <w:p>
      <w:pPr>
        <w:widowControl w:val="0"/>
        <w:wordWrap/>
        <w:spacing w:line="600" w:lineRule="exact"/>
        <w:ind w:left="0"/>
        <w:jc w:val="both"/>
        <w:textAlignment w:val="auto"/>
        <w:outlineLvl w:val="9"/>
        <w:rPr>
          <w:rFonts w:hint="eastAsia" w:ascii="宋体" w:hAnsi="宋体" w:eastAsia="仿宋_GB2312"/>
          <w:sz w:val="32"/>
          <w:szCs w:val="30"/>
          <w:highlight w:val="none"/>
          <w:lang w:eastAsia="zh-CN"/>
        </w:rPr>
      </w:pPr>
      <w:r>
        <w:rPr>
          <w:rFonts w:hint="eastAsia" w:ascii="宋体" w:hAnsi="宋体" w:eastAsia="方正小标宋简体" w:cs="方正小标宋简体"/>
          <w:b w:val="0"/>
          <w:bCs/>
          <w:color w:val="000000"/>
          <w:kern w:val="0"/>
          <w:sz w:val="44"/>
          <w:szCs w:val="44"/>
          <w:highlight w:val="none"/>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十三</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1页/共1页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年全市政府性基金预算支出明细表</w:t>
      </w:r>
    </w:p>
    <w:p>
      <w:pPr>
        <w:widowControl w:val="0"/>
        <w:wordWrap/>
        <w:overflowPunct w:val="0"/>
        <w:autoSpaceDE w:val="0"/>
        <w:autoSpaceDN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20"/>
        <w:gridCol w:w="1153"/>
        <w:gridCol w:w="1159"/>
        <w:gridCol w:w="1200"/>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blHeader/>
        </w:trPr>
        <w:tc>
          <w:tcPr>
            <w:tcW w:w="412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合计</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当年收入安排数</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转移支付收入安排数</w:t>
            </w:r>
          </w:p>
        </w:tc>
        <w:tc>
          <w:tcPr>
            <w:tcW w:w="1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上年结转</w:t>
            </w:r>
            <w:r>
              <w:rPr>
                <w:rFonts w:hint="eastAsia" w:ascii="宋体" w:hAnsi="宋体" w:eastAsia="黑体" w:cs="黑体"/>
                <w:i w:val="0"/>
                <w:color w:val="000000"/>
                <w:kern w:val="0"/>
                <w:sz w:val="24"/>
                <w:szCs w:val="24"/>
                <w:highlight w:val="none"/>
                <w:u w:val="none"/>
                <w:lang w:val="en-US" w:eastAsia="zh-CN"/>
              </w:rPr>
              <w:br w:type="textWrapping"/>
            </w:r>
            <w:r>
              <w:rPr>
                <w:rFonts w:hint="eastAsia" w:ascii="宋体" w:hAnsi="宋体" w:eastAsia="黑体" w:cs="黑体"/>
                <w:i w:val="0"/>
                <w:color w:val="000000"/>
                <w:kern w:val="0"/>
                <w:sz w:val="24"/>
                <w:szCs w:val="24"/>
                <w:highlight w:val="none"/>
                <w:u w:val="none"/>
                <w:lang w:val="en-US" w:eastAsia="zh-CN"/>
              </w:rPr>
              <w:t>结余安排数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一、社会保障和就业支出</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2383</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2383</w:t>
            </w:r>
          </w:p>
        </w:tc>
        <w:tc>
          <w:tcPr>
            <w:tcW w:w="1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大中型水库移民后期扶持基金支出</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2383</w:t>
            </w:r>
          </w:p>
        </w:tc>
        <w:tc>
          <w:tcPr>
            <w:tcW w:w="115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120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2383</w:t>
            </w:r>
          </w:p>
        </w:tc>
        <w:tc>
          <w:tcPr>
            <w:tcW w:w="12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二、城乡社区支出</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152810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145636</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2847</w:t>
            </w:r>
          </w:p>
        </w:tc>
        <w:tc>
          <w:tcPr>
            <w:tcW w:w="1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4327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国有土地使用权出让收入安排的支出</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134920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127746</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2847</w:t>
            </w:r>
          </w:p>
        </w:tc>
        <w:tc>
          <w:tcPr>
            <w:tcW w:w="1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4327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国有土地收益基金安排的支出</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3670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3670</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1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农业土地开发资金安排的支出</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1220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1220</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1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城市基础设施配套费安排的支出</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9000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9000</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1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污水处理费安排的支出</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4000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4000</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1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三、农林水支出</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157</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157</w:t>
            </w:r>
          </w:p>
        </w:tc>
        <w:tc>
          <w:tcPr>
            <w:tcW w:w="1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大中型水库库区基金安排的支出</w:t>
            </w:r>
          </w:p>
        </w:tc>
        <w:tc>
          <w:tcPr>
            <w:tcW w:w="115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157</w:t>
            </w:r>
          </w:p>
        </w:tc>
        <w:tc>
          <w:tcPr>
            <w:tcW w:w="115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120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157</w:t>
            </w:r>
          </w:p>
        </w:tc>
        <w:tc>
          <w:tcPr>
            <w:tcW w:w="12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12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四、其他支出</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346</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346</w:t>
            </w:r>
          </w:p>
        </w:tc>
        <w:tc>
          <w:tcPr>
            <w:tcW w:w="1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彩票发行销售机构业务费安排的支出</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50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50</w:t>
            </w:r>
          </w:p>
        </w:tc>
        <w:tc>
          <w:tcPr>
            <w:tcW w:w="1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彩票公益金安排的支出</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296</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296</w:t>
            </w:r>
          </w:p>
        </w:tc>
        <w:tc>
          <w:tcPr>
            <w:tcW w:w="1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五、债务付息支出</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8862</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8862</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1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地方政府专项债务付息支出</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8862</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8862</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1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exact"/>
        </w:trPr>
        <w:tc>
          <w:tcPr>
            <w:tcW w:w="4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合   计</w:t>
            </w:r>
          </w:p>
        </w:tc>
        <w:tc>
          <w:tcPr>
            <w:tcW w:w="11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164558</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154498</w:t>
            </w:r>
          </w:p>
        </w:tc>
        <w:tc>
          <w:tcPr>
            <w:tcW w:w="12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5733</w:t>
            </w:r>
          </w:p>
        </w:tc>
        <w:tc>
          <w:tcPr>
            <w:tcW w:w="1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4327</w:t>
            </w:r>
          </w:p>
        </w:tc>
      </w:tr>
    </w:tbl>
    <w:p>
      <w:pPr>
        <w:widowControl w:val="0"/>
        <w:wordWrap/>
        <w:spacing w:line="600" w:lineRule="exact"/>
        <w:ind w:left="0" w:leftChars="0"/>
        <w:jc w:val="both"/>
        <w:textAlignment w:val="auto"/>
        <w:outlineLvl w:val="9"/>
        <w:rPr>
          <w:rFonts w:hint="eastAsia" w:ascii="宋体" w:hAnsi="宋体" w:eastAsia="仿宋_GB2312"/>
          <w:sz w:val="32"/>
          <w:szCs w:val="30"/>
          <w:highlight w:val="none"/>
          <w:lang w:eastAsia="zh-CN"/>
        </w:rPr>
      </w:pPr>
      <w:r>
        <w:rPr>
          <w:rFonts w:hint="eastAsia" w:ascii="宋体" w:hAnsi="宋体" w:eastAsia="仿宋_GB2312"/>
          <w:sz w:val="32"/>
          <w:szCs w:val="32"/>
          <w:highlight w:val="none"/>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十四</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1页/共1页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年提前通知政府性基金转移支付预算表</w:t>
      </w:r>
    </w:p>
    <w:p>
      <w:pPr>
        <w:widowControl w:val="0"/>
        <w:wordWrap/>
        <w:overflowPunct w:val="0"/>
        <w:autoSpaceDE w:val="0"/>
        <w:autoSpaceDN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85"/>
        <w:gridCol w:w="3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中央、省对我市转移支付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合计</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5733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社会保障和就业支出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2383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大中型水库移民后期扶持</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2383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城乡社区支出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2847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农村基础设施建设支出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1424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社区养老支出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1423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农林水支出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大中型水库库区基金</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其他支出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  彩票发行销售机构业务费</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 w:firstLineChars="100"/>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彩票公益金支持社会事业发展专项</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296</w:t>
            </w:r>
          </w:p>
        </w:tc>
      </w:tr>
    </w:tbl>
    <w:p>
      <w:pPr>
        <w:widowControl w:val="0"/>
        <w:wordWrap/>
        <w:spacing w:line="600" w:lineRule="exact"/>
        <w:ind w:left="0" w:leftChars="0"/>
        <w:jc w:val="both"/>
        <w:textAlignment w:val="auto"/>
        <w:outlineLvl w:val="9"/>
        <w:rPr>
          <w:rFonts w:hint="eastAsia" w:ascii="宋体" w:hAnsi="宋体" w:eastAsia="黑体"/>
          <w:sz w:val="32"/>
          <w:szCs w:val="30"/>
          <w:highlight w:val="none"/>
          <w:lang w:eastAsia="zh-CN"/>
        </w:rPr>
      </w:pPr>
      <w:r>
        <w:rPr>
          <w:rFonts w:hint="eastAsia" w:ascii="宋体" w:hAnsi="宋体" w:eastAsia="仿宋_GB2312" w:cs="仿宋_GB2312"/>
          <w:color w:val="000000"/>
          <w:kern w:val="0"/>
          <w:sz w:val="32"/>
          <w:szCs w:val="32"/>
          <w:highlight w:val="none"/>
          <w:lang w:val="en-US" w:eastAsia="zh-CN"/>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十五</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1页/共1页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w:t>
      </w:r>
      <w:r>
        <w:rPr>
          <w:rFonts w:hint="eastAsia" w:ascii="方正小标宋简体" w:hAnsi="方正小标宋简体" w:eastAsia="方正小标宋简体" w:cs="方正小标宋简体"/>
          <w:b w:val="0"/>
          <w:bCs/>
          <w:color w:val="000000"/>
          <w:kern w:val="0"/>
          <w:sz w:val="44"/>
          <w:szCs w:val="44"/>
          <w:highlight w:val="none"/>
          <w:lang w:val="en-US" w:eastAsia="zh-CN"/>
        </w:rPr>
        <w:t>20</w:t>
      </w:r>
      <w:r>
        <w:rPr>
          <w:rFonts w:hint="eastAsia" w:ascii="方正小标宋简体" w:hAnsi="方正小标宋简体" w:eastAsia="方正小标宋简体" w:cs="方正小标宋简体"/>
          <w:b w:val="0"/>
          <w:bCs/>
          <w:color w:val="000000"/>
          <w:kern w:val="0"/>
          <w:sz w:val="44"/>
          <w:szCs w:val="44"/>
          <w:highlight w:val="none"/>
        </w:rPr>
        <w:t>年和202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年政府专项债务余额情况表</w:t>
      </w:r>
    </w:p>
    <w:p>
      <w:pPr>
        <w:widowControl w:val="0"/>
        <w:wordWrap/>
        <w:overflowPunct w:val="0"/>
        <w:autoSpaceDE w:val="0"/>
        <w:autoSpaceDN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15"/>
        <w:gridCol w:w="2014"/>
        <w:gridCol w:w="2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2014" w:type="dxa"/>
            <w:tcBorders>
              <w:top w:val="single" w:color="000000" w:sz="4" w:space="0"/>
              <w:left w:val="single" w:color="000000" w:sz="4" w:space="0"/>
              <w:bottom w:val="nil"/>
              <w:right w:val="nil"/>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预算数</w:t>
            </w:r>
          </w:p>
        </w:tc>
        <w:tc>
          <w:tcPr>
            <w:tcW w:w="20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2019年末政府专项债务余额实际数</w:t>
            </w:r>
          </w:p>
        </w:tc>
        <w:tc>
          <w:tcPr>
            <w:tcW w:w="2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141197 </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141197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2020年末政府专项债务余额限额</w:t>
            </w:r>
          </w:p>
        </w:tc>
        <w:tc>
          <w:tcPr>
            <w:tcW w:w="2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232300 </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232300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2020年政府专项债券发行额</w:t>
            </w:r>
          </w:p>
        </w:tc>
        <w:tc>
          <w:tcPr>
            <w:tcW w:w="2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102352 </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102352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2020年政府专项债券还本额</w:t>
            </w:r>
          </w:p>
        </w:tc>
        <w:tc>
          <w:tcPr>
            <w:tcW w:w="2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17375 </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17375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2020年末政府专项债务余额预计执行数</w:t>
            </w:r>
          </w:p>
        </w:tc>
        <w:tc>
          <w:tcPr>
            <w:tcW w:w="2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226174 </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226174 </w:t>
            </w:r>
          </w:p>
        </w:tc>
      </w:tr>
    </w:tbl>
    <w:p>
      <w:pPr>
        <w:pStyle w:val="2"/>
        <w:rPr>
          <w:rFonts w:hint="eastAsia" w:ascii="宋体" w:hAnsi="宋体"/>
          <w:highlight w:val="none"/>
          <w:lang w:val="en-US" w:eastAsia="zh-CN"/>
        </w:rPr>
      </w:pPr>
    </w:p>
    <w:p>
      <w:pPr>
        <w:rPr>
          <w:rFonts w:hint="eastAsia" w:ascii="宋体" w:hAnsi="宋体"/>
          <w:highlight w:val="none"/>
          <w:lang w:val="en-US" w:eastAsia="zh-CN"/>
        </w:rPr>
      </w:pPr>
    </w:p>
    <w:p>
      <w:pPr>
        <w:rPr>
          <w:rFonts w:hint="eastAsia" w:ascii="宋体" w:hAnsi="宋体" w:eastAsia="仿宋_GB2312"/>
          <w:sz w:val="28"/>
          <w:szCs w:val="28"/>
          <w:highlight w:val="none"/>
          <w:lang w:eastAsia="zh-CN"/>
        </w:rPr>
      </w:pPr>
      <w:r>
        <w:rPr>
          <w:rFonts w:hint="eastAsia" w:ascii="宋体" w:hAnsi="宋体"/>
          <w:highlight w:val="none"/>
          <w:lang w:val="en-US" w:eastAsia="zh-CN"/>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十六</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1页/共1页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年全市国有资本经营预算收支表</w:t>
      </w:r>
    </w:p>
    <w:p>
      <w:pPr>
        <w:widowControl w:val="0"/>
        <w:wordWrap/>
        <w:overflowPunct w:val="0"/>
        <w:autoSpaceDE w:val="0"/>
        <w:autoSpaceDN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52"/>
        <w:gridCol w:w="1185"/>
        <w:gridCol w:w="3225"/>
        <w:gridCol w:w="1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宋体" w:hAnsi="宋体" w:eastAsia="黑体" w:cs="黑体"/>
                <w:i w:val="0"/>
                <w:color w:val="000000"/>
                <w:kern w:val="0"/>
                <w:sz w:val="24"/>
                <w:szCs w:val="24"/>
                <w:highlight w:val="none"/>
                <w:u w:val="none"/>
                <w:lang w:val="en-US" w:eastAsia="zh-CN"/>
              </w:rPr>
              <w:t>收入</w:t>
            </w:r>
          </w:p>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预算数</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宋体" w:hAnsi="宋体" w:eastAsia="黑体" w:cs="黑体"/>
                <w:i w:val="0"/>
                <w:color w:val="000000"/>
                <w:kern w:val="0"/>
                <w:sz w:val="24"/>
                <w:szCs w:val="24"/>
                <w:highlight w:val="none"/>
                <w:u w:val="none"/>
                <w:lang w:val="en-US" w:eastAsia="zh-CN"/>
              </w:rPr>
              <w:t>支出</w:t>
            </w:r>
          </w:p>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利润收入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33</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解决历史遗留问题及改革成本支出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股利、股息收入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国有企业资本金注入</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产权转让收入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国有企业政策性补贴</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清算收入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金融国有资本经营预算支出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其他国有资本经营预算收入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其他国有资本经营预算支出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本年收入合计</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33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本年支出合计</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上级补助收入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42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kern w:val="0"/>
                <w:sz w:val="24"/>
                <w:szCs w:val="24"/>
                <w:highlight w:val="none"/>
                <w:u w:val="none"/>
                <w:lang w:val="en-US" w:eastAsia="zh-CN"/>
              </w:rPr>
            </w:pP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收入总计</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75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支出总计</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75 </w:t>
            </w:r>
          </w:p>
        </w:tc>
      </w:tr>
    </w:tbl>
    <w:p>
      <w:pPr>
        <w:widowControl w:val="0"/>
        <w:wordWrap/>
        <w:adjustRightInd w:val="0"/>
        <w:snapToGrid w:val="0"/>
        <w:spacing w:line="720" w:lineRule="exact"/>
        <w:ind w:left="0" w:leftChars="0"/>
        <w:jc w:val="both"/>
        <w:textAlignment w:val="auto"/>
        <w:outlineLvl w:val="9"/>
        <w:rPr>
          <w:rFonts w:hint="eastAsia" w:ascii="宋体" w:hAnsi="宋体" w:eastAsia="方正小标宋简体" w:cs="方正小标宋简体"/>
          <w:bCs/>
          <w:sz w:val="44"/>
          <w:szCs w:val="44"/>
          <w:highlight w:val="none"/>
        </w:rPr>
      </w:pPr>
    </w:p>
    <w:p>
      <w:pPr>
        <w:widowControl w:val="0"/>
        <w:wordWrap/>
        <w:spacing w:line="600" w:lineRule="exact"/>
        <w:ind w:left="0" w:leftChars="0"/>
        <w:jc w:val="both"/>
        <w:textAlignment w:val="auto"/>
        <w:outlineLvl w:val="9"/>
        <w:rPr>
          <w:rFonts w:hint="eastAsia" w:ascii="宋体" w:hAnsi="宋体" w:eastAsia="仿宋_GB2312"/>
          <w:sz w:val="32"/>
          <w:szCs w:val="30"/>
          <w:highlight w:val="none"/>
          <w:lang w:eastAsia="zh-CN"/>
        </w:rPr>
      </w:pPr>
      <w:r>
        <w:rPr>
          <w:rFonts w:hint="eastAsia" w:ascii="宋体" w:hAnsi="宋体" w:eastAsia="方正小标宋简体" w:cs="方正小标宋简体"/>
          <w:bCs/>
          <w:sz w:val="44"/>
          <w:szCs w:val="44"/>
          <w:highlight w:val="none"/>
        </w:rPr>
        <w:br w:type="page"/>
      </w: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十七</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1页/共1页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年提前通知国有资本经营转移支付预算表</w:t>
      </w:r>
    </w:p>
    <w:p>
      <w:pPr>
        <w:widowControl w:val="0"/>
        <w:wordWrap/>
        <w:overflowPunct w:val="0"/>
        <w:autoSpaceDE w:val="0"/>
        <w:autoSpaceDN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85"/>
        <w:gridCol w:w="3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17"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中央、省对我市转移支付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17"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合计</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17"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国有企业退休人员社会化管理补助</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42</w:t>
            </w: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p>
    <w:p>
      <w:pPr>
        <w:pStyle w:val="2"/>
        <w:rPr>
          <w:rFonts w:hint="eastAsia" w:ascii="方正小标宋简体" w:hAnsi="方正小标宋简体" w:eastAsia="方正小标宋简体" w:cs="方正小标宋简体"/>
          <w:b w:val="0"/>
          <w:bCs/>
          <w:color w:val="000000"/>
          <w:kern w:val="0"/>
          <w:sz w:val="44"/>
          <w:szCs w:val="44"/>
          <w:highlight w:val="none"/>
        </w:rPr>
      </w:pPr>
    </w:p>
    <w:p>
      <w:pPr>
        <w:rPr>
          <w:rFonts w:hint="eastAsia" w:ascii="方正小标宋简体" w:hAnsi="方正小标宋简体" w:eastAsia="方正小标宋简体" w:cs="方正小标宋简体"/>
          <w:b w:val="0"/>
          <w:bCs/>
          <w:color w:val="000000"/>
          <w:kern w:val="0"/>
          <w:sz w:val="44"/>
          <w:szCs w:val="44"/>
          <w:highlight w:val="none"/>
        </w:rPr>
      </w:pPr>
    </w:p>
    <w:p>
      <w:pPr>
        <w:pStyle w:val="2"/>
        <w:rPr>
          <w:rFonts w:hint="eastAsia" w:ascii="方正小标宋简体" w:hAnsi="方正小标宋简体" w:eastAsia="方正小标宋简体" w:cs="方正小标宋简体"/>
          <w:b w:val="0"/>
          <w:bCs/>
          <w:color w:val="000000"/>
          <w:kern w:val="0"/>
          <w:sz w:val="44"/>
          <w:szCs w:val="44"/>
          <w:highlight w:val="none"/>
        </w:rPr>
      </w:pPr>
    </w:p>
    <w:p>
      <w:pPr>
        <w:rPr>
          <w:rFonts w:hint="eastAsia" w:ascii="方正小标宋简体" w:hAnsi="方正小标宋简体" w:eastAsia="方正小标宋简体" w:cs="方正小标宋简体"/>
          <w:b w:val="0"/>
          <w:bCs/>
          <w:color w:val="000000"/>
          <w:kern w:val="0"/>
          <w:sz w:val="44"/>
          <w:szCs w:val="44"/>
          <w:highlight w:val="none"/>
        </w:rPr>
      </w:pPr>
    </w:p>
    <w:p>
      <w:pPr>
        <w:pStyle w:val="2"/>
        <w:rPr>
          <w:rFonts w:hint="eastAsia" w:ascii="方正小标宋简体" w:hAnsi="方正小标宋简体" w:eastAsia="方正小标宋简体" w:cs="方正小标宋简体"/>
          <w:b w:val="0"/>
          <w:bCs/>
          <w:color w:val="000000"/>
          <w:kern w:val="0"/>
          <w:sz w:val="44"/>
          <w:szCs w:val="44"/>
          <w:highlight w:val="none"/>
        </w:rPr>
      </w:pPr>
    </w:p>
    <w:p>
      <w:pPr>
        <w:rPr>
          <w:rFonts w:hint="eastAsia" w:ascii="方正小标宋简体" w:hAnsi="方正小标宋简体" w:eastAsia="方正小标宋简体" w:cs="方正小标宋简体"/>
          <w:b w:val="0"/>
          <w:bCs/>
          <w:color w:val="000000"/>
          <w:kern w:val="0"/>
          <w:sz w:val="44"/>
          <w:szCs w:val="44"/>
          <w:highlight w:val="none"/>
        </w:rPr>
      </w:pPr>
    </w:p>
    <w:p>
      <w:pPr>
        <w:pStyle w:val="2"/>
        <w:rPr>
          <w:rFonts w:hint="eastAsia" w:ascii="方正小标宋简体" w:hAnsi="方正小标宋简体" w:eastAsia="方正小标宋简体" w:cs="方正小标宋简体"/>
          <w:b w:val="0"/>
          <w:bCs/>
          <w:color w:val="000000"/>
          <w:kern w:val="0"/>
          <w:sz w:val="44"/>
          <w:szCs w:val="44"/>
          <w:highlight w:val="none"/>
        </w:rPr>
      </w:pPr>
    </w:p>
    <w:p>
      <w:pPr>
        <w:rPr>
          <w:rFonts w:hint="eastAsia" w:ascii="宋体" w:hAnsi="宋体" w:eastAsia="仿宋_GB2312"/>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十八</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1页/共2页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年全市社会保险基金预算收支表</w:t>
      </w:r>
    </w:p>
    <w:p>
      <w:pPr>
        <w:widowControl w:val="0"/>
        <w:wordWrap/>
        <w:overflowPunct w:val="0"/>
        <w:autoSpaceDE w:val="0"/>
        <w:autoSpaceDN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bookmarkStart w:id="0" w:name="_GoBack"/>
      <w:bookmarkEnd w:id="0"/>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52"/>
        <w:gridCol w:w="1365"/>
        <w:gridCol w:w="3000"/>
        <w:gridCol w:w="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blHeader/>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宋体" w:hAnsi="宋体" w:eastAsia="黑体" w:cs="黑体"/>
                <w:i w:val="0"/>
                <w:color w:val="000000"/>
                <w:kern w:val="0"/>
                <w:sz w:val="24"/>
                <w:szCs w:val="24"/>
                <w:highlight w:val="none"/>
                <w:u w:val="none"/>
                <w:lang w:val="en-US" w:eastAsia="zh-CN"/>
              </w:rPr>
              <w:t>收入</w:t>
            </w:r>
          </w:p>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预算数</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宋体" w:hAnsi="宋体" w:eastAsia="黑体" w:cs="黑体"/>
                <w:i w:val="0"/>
                <w:color w:val="000000"/>
                <w:kern w:val="0"/>
                <w:sz w:val="24"/>
                <w:szCs w:val="24"/>
                <w:highlight w:val="none"/>
                <w:u w:val="none"/>
                <w:lang w:val="en-US" w:eastAsia="zh-CN"/>
              </w:rPr>
              <w:t>支出</w:t>
            </w:r>
          </w:p>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rPr>
              <w:t>机关事业单位基本养老保险基金收入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b/>
                <w:i w:val="0"/>
                <w:color w:val="000000"/>
                <w:kern w:val="0"/>
                <w:sz w:val="24"/>
                <w:szCs w:val="24"/>
                <w:highlight w:val="none"/>
                <w:u w:val="none"/>
                <w:lang w:val="en-US" w:eastAsia="zh-CN"/>
              </w:rPr>
              <w:t xml:space="preserve">40076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rPr>
              <w:t>机关事业单位基本养老保险基金支出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b/>
                <w:i w:val="0"/>
                <w:color w:val="000000"/>
                <w:kern w:val="0"/>
                <w:sz w:val="24"/>
                <w:szCs w:val="24"/>
                <w:highlight w:val="none"/>
                <w:u w:val="none"/>
                <w:lang w:val="en-US" w:eastAsia="zh-CN"/>
              </w:rPr>
              <w:t xml:space="preserve">41542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机关事业单位基本养老保险费收入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34839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基本养老金支出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41542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机关事业单位基本养老保险基金财政补助收入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4618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机关事业单位基本养老保险基金其他支出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机关事业单位基本养老保险基金利息收入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51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机关事业单位养老保险基金其他支出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机关事业单位养老保险基金转移收入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568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rPr>
              <w:t>城乡居民基本养老保险基金收入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b/>
                <w:i w:val="0"/>
                <w:color w:val="000000"/>
                <w:kern w:val="0"/>
                <w:sz w:val="24"/>
                <w:szCs w:val="24"/>
                <w:highlight w:val="none"/>
                <w:u w:val="none"/>
                <w:lang w:val="en-US" w:eastAsia="zh-CN"/>
              </w:rPr>
              <w:t xml:space="preserve">21889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rPr>
              <w:t>城乡居民基本养老保险基金支出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b/>
                <w:i w:val="0"/>
                <w:color w:val="000000"/>
                <w:kern w:val="0"/>
                <w:sz w:val="24"/>
                <w:szCs w:val="24"/>
                <w:highlight w:val="none"/>
                <w:u w:val="none"/>
                <w:lang w:val="en-US" w:eastAsia="zh-CN"/>
              </w:rPr>
              <w:t xml:space="preserve">19858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城乡居民基本养老保险费收入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3857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基础养老金支出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16007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 w:firstLineChars="10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城乡居民基本养老保险基金财政补贴收入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17251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个人账户养老金支出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3523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城乡居民基本养老保险基金利息收入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600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丧葬抚恤补助支出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324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城乡居民养老医疗保险基金转移收入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5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转移支出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rPr>
              <w:t>城乡居民基本医疗保险基金收入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b/>
                <w:i w:val="0"/>
                <w:color w:val="000000"/>
                <w:kern w:val="0"/>
                <w:sz w:val="24"/>
                <w:szCs w:val="24"/>
                <w:highlight w:val="none"/>
                <w:u w:val="none"/>
                <w:lang w:val="en-US" w:eastAsia="zh-CN"/>
              </w:rPr>
              <w:t xml:space="preserve">44415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rPr>
              <w:t>城乡居民基本医疗保险基金支出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b/>
                <w:i w:val="0"/>
                <w:color w:val="000000"/>
                <w:kern w:val="0"/>
                <w:sz w:val="24"/>
                <w:szCs w:val="24"/>
                <w:highlight w:val="none"/>
                <w:u w:val="none"/>
                <w:lang w:val="en-US" w:eastAsia="zh-CN"/>
              </w:rPr>
              <w:t xml:space="preserve">41289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城乡居民基本医疗保险费收入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14389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基本医疗保险待遇支出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37281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 w:firstLineChars="1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城乡居民基本医疗保险基金财政补贴收入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29806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大病保险支出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4008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240" w:firstLineChars="100"/>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城乡居民基本医疗保险基金利息收入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220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其他支出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rPr>
              <w:t>职工基本医疗保险基金收入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b/>
                <w:i w:val="0"/>
                <w:color w:val="000000"/>
                <w:kern w:val="0"/>
                <w:sz w:val="24"/>
                <w:szCs w:val="24"/>
                <w:highlight w:val="none"/>
                <w:u w:val="none"/>
                <w:lang w:val="en-US" w:eastAsia="zh-CN"/>
              </w:rPr>
              <w:t xml:space="preserve">58531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rPr>
              <w:t>职工基本医疗保险基金支出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b/>
                <w:i w:val="0"/>
                <w:color w:val="000000"/>
                <w:kern w:val="0"/>
                <w:sz w:val="24"/>
                <w:szCs w:val="24"/>
                <w:highlight w:val="none"/>
                <w:u w:val="none"/>
                <w:lang w:val="en-US" w:eastAsia="zh-CN"/>
              </w:rPr>
              <w:t xml:space="preserve">49226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  职工基本医疗保险费收入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57353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  职工基本医疗保险统筹基金支出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29546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  职工基本医疗保险基金利息收入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1080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  职工基本医疗保险个人账户基金支出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19588 </w:t>
            </w:r>
          </w:p>
        </w:tc>
      </w:tr>
    </w:tbl>
    <w:p>
      <w:pPr>
        <w:widowControl w:val="0"/>
        <w:wordWrap/>
        <w:spacing w:line="600" w:lineRule="exact"/>
        <w:ind w:left="0" w:leftChars="0"/>
        <w:jc w:val="both"/>
        <w:textAlignment w:val="auto"/>
        <w:outlineLvl w:val="9"/>
        <w:rPr>
          <w:rFonts w:hint="eastAsia" w:ascii="宋体" w:hAnsi="宋体" w:eastAsia="仿宋_GB2312"/>
          <w:sz w:val="28"/>
          <w:szCs w:val="28"/>
          <w:highlight w:val="none"/>
          <w:lang w:eastAsia="zh-CN"/>
        </w:rPr>
      </w:pPr>
      <w:r>
        <w:rPr>
          <w:rFonts w:hint="eastAsia" w:ascii="宋体" w:hAnsi="宋体" w:eastAsia="黑体" w:cs="黑体"/>
          <w:sz w:val="28"/>
          <w:szCs w:val="28"/>
          <w:highlight w:val="none"/>
        </w:rPr>
        <w:t>表</w:t>
      </w:r>
      <w:r>
        <w:rPr>
          <w:rFonts w:hint="eastAsia" w:ascii="宋体" w:hAnsi="宋体" w:eastAsia="黑体" w:cs="黑体"/>
          <w:sz w:val="28"/>
          <w:szCs w:val="28"/>
          <w:highlight w:val="none"/>
          <w:lang w:eastAsia="zh-CN"/>
        </w:rPr>
        <w:t>十八</w:t>
      </w:r>
      <w:r>
        <w:rPr>
          <w:rFonts w:hint="eastAsia" w:ascii="宋体" w:hAnsi="宋体" w:eastAsia="黑体" w:cs="黑体"/>
          <w:sz w:val="28"/>
          <w:szCs w:val="28"/>
          <w:highlight w:val="none"/>
          <w:lang w:val="zh-CN" w:eastAsia="zh-CN"/>
        </w:rPr>
        <w:t>（第</w:t>
      </w:r>
      <w:r>
        <w:rPr>
          <w:rFonts w:hint="eastAsia" w:ascii="宋体" w:hAnsi="宋体" w:eastAsia="黑体" w:cs="黑体"/>
          <w:sz w:val="28"/>
          <w:szCs w:val="28"/>
          <w:highlight w:val="none"/>
          <w:lang w:val="en-US" w:eastAsia="zh-CN"/>
        </w:rPr>
        <w:t>2页/共2页</w:t>
      </w:r>
      <w:r>
        <w:rPr>
          <w:rFonts w:hint="eastAsia" w:ascii="宋体" w:hAnsi="宋体" w:eastAsia="黑体" w:cs="黑体"/>
          <w:sz w:val="28"/>
          <w:szCs w:val="28"/>
          <w:highlight w:val="none"/>
          <w:lang w:val="zh-CN" w:eastAsia="zh-CN"/>
        </w:rPr>
        <w:t>）</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t>202</w:t>
      </w:r>
      <w:r>
        <w:rPr>
          <w:rFonts w:hint="eastAsia" w:ascii="方正小标宋简体" w:hAnsi="方正小标宋简体" w:eastAsia="方正小标宋简体" w:cs="方正小标宋简体"/>
          <w:b w:val="0"/>
          <w:bCs/>
          <w:color w:val="000000"/>
          <w:kern w:val="0"/>
          <w:sz w:val="44"/>
          <w:szCs w:val="44"/>
          <w:highlight w:val="none"/>
          <w:lang w:val="en-US" w:eastAsia="zh-CN"/>
        </w:rPr>
        <w:t>1</w:t>
      </w:r>
      <w:r>
        <w:rPr>
          <w:rFonts w:hint="eastAsia" w:ascii="方正小标宋简体" w:hAnsi="方正小标宋简体" w:eastAsia="方正小标宋简体" w:cs="方正小标宋简体"/>
          <w:b w:val="0"/>
          <w:bCs/>
          <w:color w:val="000000"/>
          <w:kern w:val="0"/>
          <w:sz w:val="44"/>
          <w:szCs w:val="44"/>
          <w:highlight w:val="none"/>
        </w:rPr>
        <w:t>年全市社会保险基金预算收支表</w:t>
      </w:r>
    </w:p>
    <w:p>
      <w:pPr>
        <w:widowControl w:val="0"/>
        <w:wordWrap/>
        <w:overflowPunct w:val="0"/>
        <w:autoSpaceDE w:val="0"/>
        <w:autoSpaceDN w:val="0"/>
        <w:adjustRightInd w:val="0"/>
        <w:snapToGrid w:val="0"/>
        <w:spacing w:line="660" w:lineRule="exact"/>
        <w:ind w:lef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单位：万元</w:t>
      </w:r>
    </w:p>
    <w:tbl>
      <w:tblPr>
        <w:tblStyle w:val="11"/>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52"/>
        <w:gridCol w:w="1365"/>
        <w:gridCol w:w="3000"/>
        <w:gridCol w:w="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blHeader/>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宋体" w:hAnsi="宋体" w:eastAsia="黑体" w:cs="黑体"/>
                <w:i w:val="0"/>
                <w:color w:val="000000"/>
                <w:kern w:val="0"/>
                <w:sz w:val="24"/>
                <w:szCs w:val="24"/>
                <w:highlight w:val="none"/>
                <w:u w:val="none"/>
                <w:lang w:val="en-US" w:eastAsia="zh-CN"/>
              </w:rPr>
              <w:t>收入</w:t>
            </w:r>
          </w:p>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预算数</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项   目</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000000"/>
                <w:kern w:val="0"/>
                <w:sz w:val="24"/>
                <w:szCs w:val="24"/>
                <w:highlight w:val="none"/>
                <w:u w:val="none"/>
                <w:lang w:val="en-US" w:eastAsia="zh-CN"/>
              </w:rPr>
            </w:pPr>
            <w:r>
              <w:rPr>
                <w:rFonts w:hint="eastAsia" w:ascii="宋体" w:hAnsi="宋体" w:eastAsia="黑体" w:cs="黑体"/>
                <w:i w:val="0"/>
                <w:color w:val="000000"/>
                <w:kern w:val="0"/>
                <w:sz w:val="24"/>
                <w:szCs w:val="24"/>
                <w:highlight w:val="none"/>
                <w:u w:val="none"/>
                <w:lang w:val="en-US" w:eastAsia="zh-CN"/>
              </w:rPr>
              <w:t>支出</w:t>
            </w:r>
          </w:p>
          <w:p>
            <w:pPr>
              <w:widowControl w:val="0"/>
              <w:wordWrap/>
              <w:ind w:left="0"/>
              <w:jc w:val="center"/>
              <w:textAlignment w:val="center"/>
              <w:rPr>
                <w:rFonts w:hint="eastAsia" w:ascii="宋体" w:hAnsi="宋体" w:eastAsia="黑体" w:cs="黑体"/>
                <w:i w:val="0"/>
                <w:color w:val="000000"/>
                <w:sz w:val="24"/>
                <w:szCs w:val="24"/>
                <w:highlight w:val="none"/>
                <w:u w:val="none"/>
              </w:rPr>
            </w:pPr>
            <w:r>
              <w:rPr>
                <w:rFonts w:hint="eastAsia" w:ascii="宋体" w:hAnsi="宋体" w:eastAsia="黑体" w:cs="黑体"/>
                <w:i w:val="0"/>
                <w:color w:val="000000"/>
                <w:kern w:val="0"/>
                <w:sz w:val="24"/>
                <w:szCs w:val="24"/>
                <w:highlight w:val="none"/>
                <w:u w:val="none"/>
                <w:lang w:val="en-US" w:eastAsia="zh-CN"/>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职工基本医疗保险基金转移收入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98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职工基本医疗保险基金转移支出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rPr>
              <w:t>工伤保险基金收入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b/>
                <w:i w:val="0"/>
                <w:color w:val="000000"/>
                <w:kern w:val="0"/>
                <w:sz w:val="24"/>
                <w:szCs w:val="24"/>
                <w:highlight w:val="none"/>
                <w:u w:val="none"/>
                <w:lang w:val="en-US" w:eastAsia="zh-CN"/>
              </w:rPr>
              <w:t xml:space="preserve">3744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rPr>
              <w:t>工伤保险基金支出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b/>
                <w:i w:val="0"/>
                <w:color w:val="000000"/>
                <w:kern w:val="0"/>
                <w:sz w:val="24"/>
                <w:szCs w:val="24"/>
                <w:highlight w:val="none"/>
                <w:u w:val="none"/>
                <w:lang w:val="en-US" w:eastAsia="zh-CN"/>
              </w:rPr>
              <w:t xml:space="preserve">3699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工伤保险费收入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3708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工伤保险待遇支出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3612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工伤保险基金利息收入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36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劳动能力鉴定支出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工伤保险基金上解上级支出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rPr>
              <w:t>失业保险基金收入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b/>
                <w:i w:val="0"/>
                <w:color w:val="000000"/>
                <w:kern w:val="0"/>
                <w:sz w:val="24"/>
                <w:szCs w:val="24"/>
                <w:highlight w:val="none"/>
                <w:u w:val="none"/>
                <w:lang w:val="en-US" w:eastAsia="zh-CN"/>
              </w:rPr>
              <w:t xml:space="preserve">5567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rPr>
              <w:t>失业保险基金支出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b/>
                <w:i w:val="0"/>
                <w:color w:val="000000"/>
                <w:kern w:val="0"/>
                <w:sz w:val="24"/>
                <w:szCs w:val="24"/>
                <w:highlight w:val="none"/>
                <w:u w:val="none"/>
                <w:lang w:val="en-US" w:eastAsia="zh-CN"/>
              </w:rPr>
              <w:t xml:space="preserve">8558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失业保险费收入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5513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失业保险金支出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6836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失业保险基金财政补贴收入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医疗保险费支出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699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失业保险基金利息收入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41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技能提升补贴支出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失业保险基金下级上解收入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其他费用支出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274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上级补助收入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职业培训补贴支出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转移收入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12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上解上级支出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276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转移支出</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b/>
                <w:i w:val="0"/>
                <w:color w:val="000000"/>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highlight w:val="none"/>
                <w:u w:val="none"/>
                <w:lang w:val="en-US" w:eastAsia="zh-CN"/>
              </w:rPr>
            </w:pP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rPr>
              <w:t xml:space="preserve">  失业补助金</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rPr>
              <w:t>本年收入合计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b/>
                <w:i w:val="0"/>
                <w:color w:val="000000"/>
                <w:kern w:val="0"/>
                <w:sz w:val="24"/>
                <w:szCs w:val="24"/>
                <w:highlight w:val="none"/>
                <w:u w:val="none"/>
                <w:lang w:val="en-US" w:eastAsia="zh-CN"/>
              </w:rPr>
              <w:t xml:space="preserve">174222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rPr>
              <w:t>本年支出合计</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b/>
                <w:i w:val="0"/>
                <w:color w:val="000000"/>
                <w:kern w:val="0"/>
                <w:sz w:val="24"/>
                <w:szCs w:val="24"/>
                <w:highlight w:val="none"/>
                <w:u w:val="none"/>
                <w:lang w:val="en-US" w:eastAsia="zh-CN"/>
              </w:rPr>
              <w:t xml:space="preserve">164172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上年</w:t>
            </w:r>
            <w:r>
              <w:rPr>
                <w:rFonts w:hint="eastAsia" w:ascii="宋体" w:hAnsi="宋体" w:cs="宋体"/>
                <w:i w:val="0"/>
                <w:color w:val="000000"/>
                <w:kern w:val="0"/>
                <w:sz w:val="24"/>
                <w:szCs w:val="24"/>
                <w:highlight w:val="none"/>
                <w:u w:val="none"/>
                <w:lang w:val="en-US" w:eastAsia="zh-CN"/>
              </w:rPr>
              <w:t>结转</w:t>
            </w:r>
            <w:r>
              <w:rPr>
                <w:rFonts w:hint="eastAsia" w:ascii="宋体" w:hAnsi="宋体" w:eastAsia="宋体" w:cs="宋体"/>
                <w:i w:val="0"/>
                <w:color w:val="000000"/>
                <w:kern w:val="0"/>
                <w:sz w:val="24"/>
                <w:szCs w:val="24"/>
                <w:highlight w:val="none"/>
                <w:u w:val="none"/>
                <w:lang w:val="en-US" w:eastAsia="zh-CN"/>
              </w:rPr>
              <w:t>结余收入</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160575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cs="宋体"/>
                <w:i w:val="0"/>
                <w:color w:val="000000"/>
                <w:kern w:val="0"/>
                <w:sz w:val="24"/>
                <w:szCs w:val="24"/>
                <w:highlight w:val="none"/>
                <w:u w:val="none"/>
                <w:lang w:val="en-US" w:eastAsia="zh-CN"/>
              </w:rPr>
              <w:t>预计结转结余</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i w:val="0"/>
                <w:color w:val="000000"/>
                <w:kern w:val="0"/>
                <w:sz w:val="24"/>
                <w:szCs w:val="24"/>
                <w:highlight w:val="none"/>
                <w:u w:val="none"/>
                <w:lang w:val="en-US" w:eastAsia="zh-CN"/>
              </w:rPr>
              <w:t xml:space="preserve">170625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b/>
                <w:i w:val="0"/>
                <w:color w:val="000000"/>
                <w:kern w:val="0"/>
                <w:sz w:val="24"/>
                <w:szCs w:val="24"/>
                <w:highlight w:val="none"/>
                <w:u w:val="none"/>
                <w:lang w:val="en-US" w:eastAsia="zh-CN"/>
              </w:rPr>
              <w:t>收入总计</w:t>
            </w:r>
          </w:p>
        </w:tc>
        <w:tc>
          <w:tcPr>
            <w:tcW w:w="1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b/>
                <w:i w:val="0"/>
                <w:color w:val="000000"/>
                <w:kern w:val="0"/>
                <w:sz w:val="24"/>
                <w:szCs w:val="24"/>
                <w:highlight w:val="none"/>
                <w:u w:val="none"/>
                <w:lang w:val="en-US" w:eastAsia="zh-CN"/>
              </w:rPr>
              <w:t xml:space="preserve">334797 </w:t>
            </w:r>
          </w:p>
        </w:tc>
        <w:tc>
          <w:tcPr>
            <w:tcW w:w="30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b/>
                <w:i w:val="0"/>
                <w:color w:val="000000"/>
                <w:kern w:val="0"/>
                <w:sz w:val="24"/>
                <w:szCs w:val="24"/>
                <w:highlight w:val="none"/>
                <w:u w:val="none"/>
                <w:lang w:val="en-US" w:eastAsia="zh-CN"/>
              </w:rPr>
              <w:t>支出总计</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000000"/>
                <w:kern w:val="0"/>
                <w:sz w:val="24"/>
                <w:szCs w:val="24"/>
                <w:highlight w:val="none"/>
                <w:u w:val="none"/>
                <w:lang w:val="en-US" w:eastAsia="zh-CN"/>
              </w:rPr>
            </w:pPr>
            <w:r>
              <w:rPr>
                <w:rFonts w:hint="eastAsia" w:ascii="宋体" w:hAnsi="宋体" w:eastAsia="宋体" w:cs="宋体"/>
                <w:b/>
                <w:i w:val="0"/>
                <w:color w:val="000000"/>
                <w:kern w:val="0"/>
                <w:sz w:val="24"/>
                <w:szCs w:val="24"/>
                <w:highlight w:val="none"/>
                <w:u w:val="none"/>
                <w:lang w:val="en-US" w:eastAsia="zh-CN"/>
              </w:rPr>
              <w:t xml:space="preserve">334797 </w:t>
            </w:r>
          </w:p>
        </w:tc>
      </w:tr>
    </w:tbl>
    <w:p>
      <w:pPr>
        <w:rPr>
          <w:rFonts w:hint="eastAsia" w:ascii="宋体" w:hAnsi="宋体" w:eastAsia="仿宋_GB2312" w:cs="仿宋_GB2312"/>
          <w:sz w:val="32"/>
          <w:szCs w:val="32"/>
          <w:highlight w:val="none"/>
          <w:lang w:val="en-US" w:eastAsia="zh-CN"/>
        </w:rPr>
      </w:pPr>
    </w:p>
    <w:sectPr>
      <w:headerReference r:id="rId3" w:type="default"/>
      <w:footerReference r:id="rId4" w:type="default"/>
      <w:pgSz w:w="11906" w:h="16838"/>
      <w:pgMar w:top="1701" w:right="1474" w:bottom="1417" w:left="147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黑简体">
    <w:altName w:val="黑体"/>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9" o:spid="_x0000_s4099"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14.1731496062992pt,0mm,14.1731496062992pt,0mm" style="mso-fit-shape-to-text:t;">
            <w:txbxContent>
              <w:p>
                <w:pPr>
                  <w:pStyle w:val="6"/>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992217"/>
    <w:rsid w:val="010731FB"/>
    <w:rsid w:val="01226D10"/>
    <w:rsid w:val="02154F58"/>
    <w:rsid w:val="023D34C4"/>
    <w:rsid w:val="024F4BAB"/>
    <w:rsid w:val="030B771C"/>
    <w:rsid w:val="03216E0B"/>
    <w:rsid w:val="03892060"/>
    <w:rsid w:val="03FC2F59"/>
    <w:rsid w:val="04057D73"/>
    <w:rsid w:val="04334EE3"/>
    <w:rsid w:val="052C2747"/>
    <w:rsid w:val="053C343C"/>
    <w:rsid w:val="066452CD"/>
    <w:rsid w:val="06A31A49"/>
    <w:rsid w:val="077D5349"/>
    <w:rsid w:val="078A511E"/>
    <w:rsid w:val="07AF59C7"/>
    <w:rsid w:val="08672408"/>
    <w:rsid w:val="09810EB6"/>
    <w:rsid w:val="09C714D7"/>
    <w:rsid w:val="0A1C58CA"/>
    <w:rsid w:val="0A4418C5"/>
    <w:rsid w:val="0AF76047"/>
    <w:rsid w:val="0B201675"/>
    <w:rsid w:val="0B265476"/>
    <w:rsid w:val="0BA62D87"/>
    <w:rsid w:val="0C225503"/>
    <w:rsid w:val="0C3E0B81"/>
    <w:rsid w:val="0C9173E6"/>
    <w:rsid w:val="0D1601D1"/>
    <w:rsid w:val="0D585AE9"/>
    <w:rsid w:val="0ECA0F48"/>
    <w:rsid w:val="0F06530F"/>
    <w:rsid w:val="0F271AAF"/>
    <w:rsid w:val="0FC62FEC"/>
    <w:rsid w:val="11042C62"/>
    <w:rsid w:val="111B60DF"/>
    <w:rsid w:val="11270C0D"/>
    <w:rsid w:val="116958DF"/>
    <w:rsid w:val="119F5886"/>
    <w:rsid w:val="124C1029"/>
    <w:rsid w:val="12F96388"/>
    <w:rsid w:val="138D791C"/>
    <w:rsid w:val="13A20DAD"/>
    <w:rsid w:val="13EA7B2E"/>
    <w:rsid w:val="14910825"/>
    <w:rsid w:val="14B136FC"/>
    <w:rsid w:val="152E2D6B"/>
    <w:rsid w:val="15690004"/>
    <w:rsid w:val="15BA296B"/>
    <w:rsid w:val="16D129AD"/>
    <w:rsid w:val="16EA2A46"/>
    <w:rsid w:val="175A1F42"/>
    <w:rsid w:val="183A5B98"/>
    <w:rsid w:val="186D6AE6"/>
    <w:rsid w:val="18935D68"/>
    <w:rsid w:val="18F148F1"/>
    <w:rsid w:val="19095696"/>
    <w:rsid w:val="19427EE4"/>
    <w:rsid w:val="198650BA"/>
    <w:rsid w:val="19DB38BC"/>
    <w:rsid w:val="19DF73B4"/>
    <w:rsid w:val="1A1B7B6D"/>
    <w:rsid w:val="1A5E4973"/>
    <w:rsid w:val="1BF91AF3"/>
    <w:rsid w:val="1CD36DE9"/>
    <w:rsid w:val="1D904B4C"/>
    <w:rsid w:val="1DF321DB"/>
    <w:rsid w:val="1E0239A4"/>
    <w:rsid w:val="1E591242"/>
    <w:rsid w:val="1F347A7C"/>
    <w:rsid w:val="20904821"/>
    <w:rsid w:val="209D214C"/>
    <w:rsid w:val="211E4018"/>
    <w:rsid w:val="21D80FA2"/>
    <w:rsid w:val="21EC584C"/>
    <w:rsid w:val="22C0618E"/>
    <w:rsid w:val="23921C35"/>
    <w:rsid w:val="243128DF"/>
    <w:rsid w:val="24A52179"/>
    <w:rsid w:val="25360C74"/>
    <w:rsid w:val="25604E1D"/>
    <w:rsid w:val="2591128E"/>
    <w:rsid w:val="261029F8"/>
    <w:rsid w:val="26270A8B"/>
    <w:rsid w:val="26530543"/>
    <w:rsid w:val="26C72B0F"/>
    <w:rsid w:val="27B75095"/>
    <w:rsid w:val="28AC5DBB"/>
    <w:rsid w:val="28AE151F"/>
    <w:rsid w:val="2905038C"/>
    <w:rsid w:val="2BA7467F"/>
    <w:rsid w:val="2BE05A05"/>
    <w:rsid w:val="2D5727CC"/>
    <w:rsid w:val="2D5A6C12"/>
    <w:rsid w:val="2D6B0EB9"/>
    <w:rsid w:val="2E561399"/>
    <w:rsid w:val="2ECF0FEF"/>
    <w:rsid w:val="2FAC33A6"/>
    <w:rsid w:val="301C5F65"/>
    <w:rsid w:val="31A92E3E"/>
    <w:rsid w:val="3303032A"/>
    <w:rsid w:val="33255A93"/>
    <w:rsid w:val="33585348"/>
    <w:rsid w:val="33B430F7"/>
    <w:rsid w:val="34061778"/>
    <w:rsid w:val="340849DE"/>
    <w:rsid w:val="341D5C58"/>
    <w:rsid w:val="34F35C38"/>
    <w:rsid w:val="357C709C"/>
    <w:rsid w:val="360D5333"/>
    <w:rsid w:val="362E44D0"/>
    <w:rsid w:val="368B71E6"/>
    <w:rsid w:val="37187D19"/>
    <w:rsid w:val="372335BB"/>
    <w:rsid w:val="37D466A6"/>
    <w:rsid w:val="3836306D"/>
    <w:rsid w:val="390901D2"/>
    <w:rsid w:val="3B382CDA"/>
    <w:rsid w:val="3B547E91"/>
    <w:rsid w:val="3C0F6B7E"/>
    <w:rsid w:val="3C453FFB"/>
    <w:rsid w:val="3DD55C13"/>
    <w:rsid w:val="3DDC685F"/>
    <w:rsid w:val="3E265F96"/>
    <w:rsid w:val="3E58505B"/>
    <w:rsid w:val="3E9E7B74"/>
    <w:rsid w:val="3ED54B20"/>
    <w:rsid w:val="3F53078A"/>
    <w:rsid w:val="409431F7"/>
    <w:rsid w:val="40FD5E15"/>
    <w:rsid w:val="418541FE"/>
    <w:rsid w:val="41A456A0"/>
    <w:rsid w:val="428A39B9"/>
    <w:rsid w:val="428C6F2D"/>
    <w:rsid w:val="445959C3"/>
    <w:rsid w:val="44E571F8"/>
    <w:rsid w:val="44E97CB6"/>
    <w:rsid w:val="44F664DE"/>
    <w:rsid w:val="458F4029"/>
    <w:rsid w:val="459069A5"/>
    <w:rsid w:val="45D30DE0"/>
    <w:rsid w:val="45E276EF"/>
    <w:rsid w:val="462B2169"/>
    <w:rsid w:val="46790FF7"/>
    <w:rsid w:val="471327BD"/>
    <w:rsid w:val="472E071B"/>
    <w:rsid w:val="48070A73"/>
    <w:rsid w:val="487F10CC"/>
    <w:rsid w:val="49466D96"/>
    <w:rsid w:val="4ABE0F74"/>
    <w:rsid w:val="4B1174A9"/>
    <w:rsid w:val="4B9A5176"/>
    <w:rsid w:val="4BF73C27"/>
    <w:rsid w:val="4C640DC4"/>
    <w:rsid w:val="4CEE0BD1"/>
    <w:rsid w:val="4D0538AF"/>
    <w:rsid w:val="4D067E39"/>
    <w:rsid w:val="4D3E0025"/>
    <w:rsid w:val="4D812876"/>
    <w:rsid w:val="4EC570DC"/>
    <w:rsid w:val="4EDA684B"/>
    <w:rsid w:val="4FAB0A88"/>
    <w:rsid w:val="4FEF08BA"/>
    <w:rsid w:val="504E4B44"/>
    <w:rsid w:val="5058486C"/>
    <w:rsid w:val="50F5360A"/>
    <w:rsid w:val="51A04DC6"/>
    <w:rsid w:val="52092063"/>
    <w:rsid w:val="523C4673"/>
    <w:rsid w:val="52A72EA3"/>
    <w:rsid w:val="52E75097"/>
    <w:rsid w:val="534A4A44"/>
    <w:rsid w:val="5387736A"/>
    <w:rsid w:val="5424593F"/>
    <w:rsid w:val="545F659B"/>
    <w:rsid w:val="54830C3B"/>
    <w:rsid w:val="550D6705"/>
    <w:rsid w:val="55231CD2"/>
    <w:rsid w:val="557B5217"/>
    <w:rsid w:val="56273D44"/>
    <w:rsid w:val="5638037F"/>
    <w:rsid w:val="572D711D"/>
    <w:rsid w:val="57315FA2"/>
    <w:rsid w:val="57506B9B"/>
    <w:rsid w:val="57B9469F"/>
    <w:rsid w:val="57F91010"/>
    <w:rsid w:val="591154C4"/>
    <w:rsid w:val="59E61C24"/>
    <w:rsid w:val="5ABA27B5"/>
    <w:rsid w:val="5B167E69"/>
    <w:rsid w:val="5B8711E9"/>
    <w:rsid w:val="5C43056F"/>
    <w:rsid w:val="5C4402BC"/>
    <w:rsid w:val="5CEF0013"/>
    <w:rsid w:val="5D0D68D5"/>
    <w:rsid w:val="5D1A6447"/>
    <w:rsid w:val="5E567822"/>
    <w:rsid w:val="5F32575F"/>
    <w:rsid w:val="5FC61F06"/>
    <w:rsid w:val="604A1E49"/>
    <w:rsid w:val="60D5564C"/>
    <w:rsid w:val="60F93174"/>
    <w:rsid w:val="610978AB"/>
    <w:rsid w:val="61924E3D"/>
    <w:rsid w:val="61C94F79"/>
    <w:rsid w:val="61F45041"/>
    <w:rsid w:val="61FF44BD"/>
    <w:rsid w:val="62834D49"/>
    <w:rsid w:val="629A4860"/>
    <w:rsid w:val="629A6A7E"/>
    <w:rsid w:val="6307201D"/>
    <w:rsid w:val="639523B4"/>
    <w:rsid w:val="645C31B6"/>
    <w:rsid w:val="645E3AC0"/>
    <w:rsid w:val="651532CC"/>
    <w:rsid w:val="655806BA"/>
    <w:rsid w:val="65AA30FA"/>
    <w:rsid w:val="65C76900"/>
    <w:rsid w:val="66541A65"/>
    <w:rsid w:val="67170B2F"/>
    <w:rsid w:val="672846E9"/>
    <w:rsid w:val="679932E6"/>
    <w:rsid w:val="6809337C"/>
    <w:rsid w:val="68116AEB"/>
    <w:rsid w:val="68231115"/>
    <w:rsid w:val="6ABC1622"/>
    <w:rsid w:val="6B194EAA"/>
    <w:rsid w:val="6B37193E"/>
    <w:rsid w:val="6B4B4887"/>
    <w:rsid w:val="6B5352D2"/>
    <w:rsid w:val="6B926D42"/>
    <w:rsid w:val="6C5E4953"/>
    <w:rsid w:val="6C9528DC"/>
    <w:rsid w:val="6CD401C0"/>
    <w:rsid w:val="6CD4138F"/>
    <w:rsid w:val="6D412844"/>
    <w:rsid w:val="6D427849"/>
    <w:rsid w:val="6D8044A8"/>
    <w:rsid w:val="6DF6102D"/>
    <w:rsid w:val="6E6A234A"/>
    <w:rsid w:val="6EE55B4B"/>
    <w:rsid w:val="6F705230"/>
    <w:rsid w:val="6FEE26D6"/>
    <w:rsid w:val="70750E6B"/>
    <w:rsid w:val="70867F63"/>
    <w:rsid w:val="70C203C3"/>
    <w:rsid w:val="70C53AC0"/>
    <w:rsid w:val="715747D1"/>
    <w:rsid w:val="72457FC3"/>
    <w:rsid w:val="72771885"/>
    <w:rsid w:val="72AA4776"/>
    <w:rsid w:val="72B04DD0"/>
    <w:rsid w:val="72FF2F42"/>
    <w:rsid w:val="736252E8"/>
    <w:rsid w:val="73EC5DCD"/>
    <w:rsid w:val="73F44DCF"/>
    <w:rsid w:val="7432426C"/>
    <w:rsid w:val="74A7535A"/>
    <w:rsid w:val="74ED719F"/>
    <w:rsid w:val="75865A60"/>
    <w:rsid w:val="76843A68"/>
    <w:rsid w:val="76D67BC8"/>
    <w:rsid w:val="76EA5FDF"/>
    <w:rsid w:val="78231EC1"/>
    <w:rsid w:val="78745E80"/>
    <w:rsid w:val="787B2466"/>
    <w:rsid w:val="78C613BA"/>
    <w:rsid w:val="78D37279"/>
    <w:rsid w:val="79567418"/>
    <w:rsid w:val="7A0E01C0"/>
    <w:rsid w:val="7B1C14D3"/>
    <w:rsid w:val="7B365FD3"/>
    <w:rsid w:val="7B86198F"/>
    <w:rsid w:val="7BCD6A11"/>
    <w:rsid w:val="7C7D02C0"/>
    <w:rsid w:val="7CD35639"/>
    <w:rsid w:val="7D475985"/>
    <w:rsid w:val="7D4C5CA9"/>
    <w:rsid w:val="7D697565"/>
    <w:rsid w:val="7E2F5937"/>
    <w:rsid w:val="7E7B4A3D"/>
    <w:rsid w:val="7FA9061C"/>
    <w:rsid w:val="7FCA41E3"/>
    <w:rsid w:val="7FE167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7"/>
    <w:pPr>
      <w:outlineLvl w:val="0"/>
    </w:pPr>
    <w:rPr>
      <w:sz w:val="28"/>
      <w:szCs w:val="28"/>
    </w:rPr>
  </w:style>
  <w:style w:type="paragraph" w:styleId="3">
    <w:name w:val="heading 2"/>
    <w:basedOn w:val="1"/>
    <w:next w:val="1"/>
    <w:qFormat/>
    <w:uiPriority w:val="1"/>
    <w:pPr>
      <w:spacing w:before="23"/>
      <w:ind w:left="101"/>
      <w:outlineLvl w:val="1"/>
    </w:pPr>
    <w:rPr>
      <w:rFonts w:ascii="方正大黑简体" w:hAnsi="方正大黑简体" w:eastAsia="方正大黑简体" w:cs="方正大黑简体"/>
      <w:sz w:val="32"/>
      <w:szCs w:val="32"/>
    </w:rPr>
  </w:style>
  <w:style w:type="paragraph" w:styleId="4">
    <w:name w:val="heading 3"/>
    <w:basedOn w:val="1"/>
    <w:next w:val="1"/>
    <w:qFormat/>
    <w:uiPriority w:val="1"/>
    <w:pPr>
      <w:spacing w:before="32"/>
      <w:ind w:left="435" w:hanging="326"/>
      <w:outlineLvl w:val="2"/>
    </w:pPr>
    <w:rPr>
      <w:rFonts w:ascii="方正黑体简体" w:hAnsi="方正黑体简体" w:eastAsia="方正黑体简体" w:cs="方正黑体简体"/>
      <w:sz w:val="30"/>
      <w:szCs w:val="30"/>
    </w:rPr>
  </w:style>
  <w:style w:type="character" w:default="1" w:styleId="9">
    <w:name w:val="Default Paragraph Font"/>
    <w:semiHidden/>
    <w:qFormat/>
    <w:uiPriority w:val="0"/>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qFormat/>
    <w:uiPriority w:val="1"/>
    <w:rPr>
      <w:sz w:val="25"/>
      <w:szCs w:val="25"/>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paragraph" w:customStyle="1" w:styleId="12">
    <w:name w:val="Default"/>
    <w:unhideWhenUsed/>
    <w:qFormat/>
    <w:uiPriority w:val="99"/>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customStyle="1" w:styleId="13">
    <w:name w:val="p0"/>
    <w:basedOn w:val="1"/>
    <w:qFormat/>
    <w:uiPriority w:val="0"/>
    <w:pPr>
      <w:widowControl/>
    </w:pPr>
    <w:rPr>
      <w:rFonts w:ascii="Times New Roman" w:hAnsi="Times New Roman" w:cs="Times New Roman"/>
      <w:kern w:val="0"/>
      <w:szCs w:val="21"/>
    </w:rPr>
  </w:style>
  <w:style w:type="paragraph" w:customStyle="1" w:styleId="14">
    <w:name w:val="p15"/>
    <w:basedOn w:val="1"/>
    <w:qFormat/>
    <w:uiPriority w:val="0"/>
    <w:pPr>
      <w:widowControl/>
    </w:pPr>
    <w:rPr>
      <w:rFonts w:ascii="宋体" w:hAnsi="宋体" w:cs="宋体"/>
      <w:kern w:val="0"/>
      <w:szCs w:val="21"/>
    </w:rPr>
  </w:style>
  <w:style w:type="character" w:customStyle="1" w:styleId="15">
    <w:name w:val="font31"/>
    <w:basedOn w:val="9"/>
    <w:qFormat/>
    <w:uiPriority w:val="0"/>
    <w:rPr>
      <w:rFonts w:hint="eastAsia" w:ascii="宋体" w:hAnsi="宋体" w:eastAsia="宋体" w:cs="宋体"/>
      <w:color w:val="000000"/>
      <w:sz w:val="24"/>
      <w:szCs w:val="24"/>
      <w:u w:val="none"/>
    </w:rPr>
  </w:style>
  <w:style w:type="character" w:customStyle="1" w:styleId="16">
    <w:name w:val="font0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 w:type="character" w:customStyle="1" w:styleId="18">
    <w:name w:val="font21"/>
    <w:basedOn w:val="9"/>
    <w:qFormat/>
    <w:uiPriority w:val="0"/>
    <w:rPr>
      <w:rFonts w:hint="eastAsia" w:ascii="宋体" w:hAnsi="宋体" w:eastAsia="宋体" w:cs="宋体"/>
      <w:color w:val="000000"/>
      <w:sz w:val="24"/>
      <w:szCs w:val="24"/>
      <w:u w:val="none"/>
    </w:rPr>
  </w:style>
  <w:style w:type="character" w:customStyle="1" w:styleId="19">
    <w:name w:val="font41"/>
    <w:basedOn w:val="9"/>
    <w:qFormat/>
    <w:uiPriority w:val="0"/>
    <w:rPr>
      <w:rFonts w:hint="eastAsia" w:ascii="宋体" w:hAnsi="宋体" w:eastAsia="宋体" w:cs="宋体"/>
      <w:color w:val="000000"/>
      <w:sz w:val="24"/>
      <w:szCs w:val="24"/>
      <w:u w:val="none"/>
    </w:rPr>
  </w:style>
  <w:style w:type="character" w:customStyle="1" w:styleId="20">
    <w:name w:val="font51"/>
    <w:basedOn w:val="9"/>
    <w:qFormat/>
    <w:uiPriority w:val="0"/>
    <w:rPr>
      <w:rFonts w:hint="eastAsia" w:ascii="宋体" w:hAnsi="宋体" w:eastAsia="宋体" w:cs="宋体"/>
      <w:color w:val="000000"/>
      <w:sz w:val="24"/>
      <w:szCs w:val="24"/>
      <w:u w:val="none"/>
    </w:rPr>
  </w:style>
  <w:style w:type="character" w:customStyle="1" w:styleId="21">
    <w:name w:val="font6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149</Pages>
  <Words>40442</Words>
  <Characters>52427</Characters>
  <Lines>0</Lines>
  <Paragraphs>0</Paragraphs>
  <TotalTime>31</TotalTime>
  <ScaleCrop>false</ScaleCrop>
  <LinksUpToDate>false</LinksUpToDate>
  <CharactersWithSpaces>61707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2020-02-18T14:01:00Z</dcterms:created>
  <dc:creator>丽芝</dc:creator>
  <cp:lastModifiedBy>Administrator</cp:lastModifiedBy>
  <cp:lastPrinted>2021-03-05T02:32:55Z</cp:lastPrinted>
  <dcterms:modified xsi:type="dcterms:W3CDTF">2021-03-05T03:04:38Z</dcterms:modified>
  <dc:title>济源市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